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55C9" w14:textId="4370A330" w:rsidR="00E70EE7" w:rsidRPr="004C112B" w:rsidRDefault="000F2012" w:rsidP="00E40A6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C112B">
        <w:rPr>
          <w:rFonts w:ascii="Arial" w:hAnsi="Arial" w:cs="Arial"/>
          <w:b/>
          <w:bCs/>
          <w:sz w:val="28"/>
          <w:szCs w:val="28"/>
        </w:rPr>
        <w:t>TARBERT AND SKIPNESS COMMUNITY TRUST</w:t>
      </w:r>
    </w:p>
    <w:p w14:paraId="2742E81A" w14:textId="77777777" w:rsidR="000F2012" w:rsidRPr="004C112B" w:rsidRDefault="000F2012" w:rsidP="00E40A60">
      <w:pPr>
        <w:rPr>
          <w:rFonts w:ascii="Arial" w:hAnsi="Arial" w:cs="Arial"/>
          <w:sz w:val="21"/>
          <w:szCs w:val="21"/>
        </w:rPr>
      </w:pPr>
    </w:p>
    <w:p w14:paraId="60FBD1F4" w14:textId="6E8A6DA1" w:rsidR="005A1FE9" w:rsidRPr="004C112B" w:rsidRDefault="000F2012" w:rsidP="00E40A60">
      <w:pPr>
        <w:jc w:val="center"/>
        <w:rPr>
          <w:rFonts w:ascii="Arial" w:hAnsi="Arial" w:cs="Arial"/>
          <w:b/>
          <w:bCs/>
        </w:rPr>
      </w:pPr>
      <w:r w:rsidRPr="004C112B">
        <w:rPr>
          <w:rFonts w:ascii="Arial" w:hAnsi="Arial" w:cs="Arial"/>
          <w:b/>
          <w:bCs/>
        </w:rPr>
        <w:t>Minute of Board Meeting</w:t>
      </w:r>
    </w:p>
    <w:p w14:paraId="79FCE92D" w14:textId="077D1719" w:rsidR="000F2012" w:rsidRPr="004C112B" w:rsidRDefault="005A1FE9" w:rsidP="00E40A60">
      <w:pPr>
        <w:jc w:val="center"/>
        <w:rPr>
          <w:rFonts w:ascii="Arial" w:hAnsi="Arial" w:cs="Arial"/>
          <w:b/>
          <w:bCs/>
        </w:rPr>
      </w:pPr>
      <w:r w:rsidRPr="004C112B">
        <w:rPr>
          <w:rFonts w:ascii="Arial" w:hAnsi="Arial" w:cs="Arial"/>
          <w:b/>
          <w:bCs/>
        </w:rPr>
        <w:t>Held</w:t>
      </w:r>
      <w:r w:rsidR="00CC1FE3">
        <w:rPr>
          <w:rFonts w:ascii="Arial" w:hAnsi="Arial" w:cs="Arial"/>
          <w:b/>
          <w:bCs/>
        </w:rPr>
        <w:t xml:space="preserve"> via Zoom</w:t>
      </w:r>
    </w:p>
    <w:p w14:paraId="2485B914" w14:textId="02A7FDEB" w:rsidR="000F2012" w:rsidRPr="004C112B" w:rsidRDefault="000F2012" w:rsidP="00E40A60">
      <w:pPr>
        <w:jc w:val="center"/>
        <w:rPr>
          <w:rFonts w:ascii="Arial" w:hAnsi="Arial" w:cs="Arial"/>
          <w:b/>
          <w:bCs/>
        </w:rPr>
      </w:pPr>
      <w:r w:rsidRPr="004C112B">
        <w:rPr>
          <w:rFonts w:ascii="Arial" w:hAnsi="Arial" w:cs="Arial"/>
          <w:b/>
          <w:bCs/>
        </w:rPr>
        <w:t xml:space="preserve">Wednesday </w:t>
      </w:r>
      <w:r w:rsidR="00CC1FE3">
        <w:rPr>
          <w:rFonts w:ascii="Arial" w:hAnsi="Arial" w:cs="Arial"/>
          <w:b/>
          <w:bCs/>
        </w:rPr>
        <w:t>1</w:t>
      </w:r>
      <w:r w:rsidR="00CC1FE3" w:rsidRPr="00CC1FE3">
        <w:rPr>
          <w:rFonts w:ascii="Arial" w:hAnsi="Arial" w:cs="Arial"/>
          <w:b/>
          <w:bCs/>
          <w:vertAlign w:val="superscript"/>
        </w:rPr>
        <w:t>st</w:t>
      </w:r>
      <w:r w:rsidR="00CC1FE3">
        <w:rPr>
          <w:rFonts w:ascii="Arial" w:hAnsi="Arial" w:cs="Arial"/>
          <w:b/>
          <w:bCs/>
        </w:rPr>
        <w:t xml:space="preserve"> September </w:t>
      </w:r>
      <w:r w:rsidR="00F441F2" w:rsidRPr="004C112B">
        <w:rPr>
          <w:rFonts w:ascii="Arial" w:hAnsi="Arial" w:cs="Arial"/>
          <w:b/>
          <w:bCs/>
        </w:rPr>
        <w:t>at 6:30 p.m.</w:t>
      </w:r>
    </w:p>
    <w:p w14:paraId="69E2DBD2" w14:textId="4F9C9AF8" w:rsidR="000F2012" w:rsidRDefault="000F2012" w:rsidP="00E40A60">
      <w:pPr>
        <w:rPr>
          <w:rFonts w:ascii="Arial" w:hAnsi="Arial" w:cs="Arial"/>
          <w:sz w:val="21"/>
          <w:szCs w:val="21"/>
        </w:rPr>
      </w:pPr>
    </w:p>
    <w:p w14:paraId="36FEC5E3" w14:textId="77777777" w:rsidR="005D1557" w:rsidRPr="004C112B" w:rsidRDefault="005D1557" w:rsidP="00E40A60">
      <w:pPr>
        <w:rPr>
          <w:rFonts w:ascii="Arial" w:hAnsi="Arial" w:cs="Arial"/>
          <w:sz w:val="21"/>
          <w:szCs w:val="21"/>
        </w:rPr>
      </w:pPr>
    </w:p>
    <w:p w14:paraId="6EBC22C6" w14:textId="1D9B982D" w:rsidR="000F2012" w:rsidRPr="004C112B" w:rsidRDefault="000F2012" w:rsidP="00E40A60">
      <w:pPr>
        <w:rPr>
          <w:rFonts w:ascii="Arial" w:hAnsi="Arial" w:cs="Arial"/>
          <w:b/>
          <w:bCs/>
          <w:sz w:val="21"/>
          <w:szCs w:val="21"/>
        </w:rPr>
      </w:pPr>
      <w:r w:rsidRPr="004C112B">
        <w:rPr>
          <w:rFonts w:ascii="Arial" w:hAnsi="Arial" w:cs="Arial"/>
          <w:b/>
          <w:bCs/>
          <w:sz w:val="21"/>
          <w:szCs w:val="21"/>
        </w:rPr>
        <w:t>Present</w:t>
      </w:r>
    </w:p>
    <w:p w14:paraId="7529BA4E" w14:textId="21CA06A9" w:rsidR="000F2012" w:rsidRPr="004C112B" w:rsidRDefault="000F2012" w:rsidP="00E40A60">
      <w:pPr>
        <w:rPr>
          <w:rFonts w:ascii="Arial" w:hAnsi="Arial" w:cs="Arial"/>
          <w:sz w:val="21"/>
          <w:szCs w:val="21"/>
        </w:rPr>
      </w:pPr>
      <w:r w:rsidRPr="004C112B">
        <w:rPr>
          <w:rFonts w:ascii="Arial" w:hAnsi="Arial" w:cs="Arial"/>
          <w:sz w:val="21"/>
          <w:szCs w:val="21"/>
        </w:rPr>
        <w:t xml:space="preserve">Sheila Campbell, Jane Cowen, Tim James, James Hamilton, </w:t>
      </w:r>
      <w:r w:rsidR="00254970">
        <w:rPr>
          <w:rFonts w:ascii="Arial" w:hAnsi="Arial" w:cs="Arial"/>
          <w:sz w:val="21"/>
          <w:szCs w:val="21"/>
        </w:rPr>
        <w:t xml:space="preserve">Bill McHugh, </w:t>
      </w:r>
      <w:r w:rsidRPr="004C112B">
        <w:rPr>
          <w:rFonts w:ascii="Arial" w:hAnsi="Arial" w:cs="Arial"/>
          <w:sz w:val="21"/>
          <w:szCs w:val="21"/>
        </w:rPr>
        <w:t>John Rushton, Lorna Rushton, Alistair Wilkie</w:t>
      </w:r>
    </w:p>
    <w:p w14:paraId="35D6B731" w14:textId="2BCAC157" w:rsidR="005A1FE9" w:rsidRPr="004C112B" w:rsidRDefault="005A1FE9" w:rsidP="00E40A60">
      <w:pPr>
        <w:rPr>
          <w:rFonts w:ascii="Arial" w:hAnsi="Arial" w:cs="Arial"/>
          <w:sz w:val="21"/>
          <w:szCs w:val="21"/>
        </w:rPr>
      </w:pPr>
    </w:p>
    <w:p w14:paraId="0683E169" w14:textId="7026BEE5" w:rsidR="000F2012" w:rsidRPr="004C112B" w:rsidRDefault="000F2012" w:rsidP="00E40A60">
      <w:pPr>
        <w:rPr>
          <w:rFonts w:ascii="Arial" w:hAnsi="Arial" w:cs="Arial"/>
          <w:b/>
          <w:bCs/>
          <w:sz w:val="21"/>
          <w:szCs w:val="21"/>
        </w:rPr>
      </w:pPr>
      <w:r w:rsidRPr="004C112B">
        <w:rPr>
          <w:rFonts w:ascii="Arial" w:hAnsi="Arial" w:cs="Arial"/>
          <w:b/>
          <w:bCs/>
          <w:sz w:val="21"/>
          <w:szCs w:val="21"/>
        </w:rPr>
        <w:t>In Attendance</w:t>
      </w:r>
    </w:p>
    <w:p w14:paraId="19763EE5" w14:textId="3F248816" w:rsidR="000F2012" w:rsidRPr="004C112B" w:rsidRDefault="000F2012" w:rsidP="00E40A60">
      <w:pPr>
        <w:rPr>
          <w:rFonts w:ascii="Arial" w:hAnsi="Arial" w:cs="Arial"/>
          <w:sz w:val="21"/>
          <w:szCs w:val="21"/>
        </w:rPr>
      </w:pPr>
      <w:r w:rsidRPr="004C112B">
        <w:rPr>
          <w:rFonts w:ascii="Arial" w:hAnsi="Arial" w:cs="Arial"/>
          <w:sz w:val="21"/>
          <w:szCs w:val="21"/>
        </w:rPr>
        <w:t>Lorna Gillies</w:t>
      </w:r>
      <w:r w:rsidR="002A6145" w:rsidRPr="004C112B">
        <w:rPr>
          <w:rFonts w:ascii="Arial" w:hAnsi="Arial" w:cs="Arial"/>
          <w:sz w:val="21"/>
          <w:szCs w:val="21"/>
        </w:rPr>
        <w:t xml:space="preserve">, Charles </w:t>
      </w:r>
      <w:proofErr w:type="spellStart"/>
      <w:r w:rsidR="002A6145" w:rsidRPr="004C112B">
        <w:rPr>
          <w:rFonts w:ascii="Arial" w:hAnsi="Arial" w:cs="Arial"/>
          <w:sz w:val="21"/>
          <w:szCs w:val="21"/>
        </w:rPr>
        <w:t>Reppke</w:t>
      </w:r>
      <w:proofErr w:type="spellEnd"/>
      <w:r w:rsidR="00CC1FE3">
        <w:rPr>
          <w:rFonts w:ascii="Arial" w:hAnsi="Arial" w:cs="Arial"/>
          <w:sz w:val="21"/>
          <w:szCs w:val="21"/>
        </w:rPr>
        <w:t>, David Smart</w:t>
      </w:r>
    </w:p>
    <w:p w14:paraId="75BB3982" w14:textId="049E8957" w:rsidR="000F2012" w:rsidRPr="004C112B" w:rsidRDefault="000F2012" w:rsidP="00E40A60">
      <w:pPr>
        <w:rPr>
          <w:rFonts w:ascii="Arial" w:hAnsi="Arial" w:cs="Arial"/>
          <w:sz w:val="21"/>
          <w:szCs w:val="21"/>
        </w:rPr>
      </w:pPr>
    </w:p>
    <w:p w14:paraId="79772FBD" w14:textId="358DA6EE" w:rsidR="000F2012" w:rsidRPr="004C112B" w:rsidRDefault="000F2012" w:rsidP="00E40A60">
      <w:pPr>
        <w:rPr>
          <w:rFonts w:ascii="Arial" w:hAnsi="Arial" w:cs="Arial"/>
          <w:b/>
          <w:bCs/>
          <w:sz w:val="21"/>
          <w:szCs w:val="21"/>
        </w:rPr>
      </w:pPr>
      <w:r w:rsidRPr="004C112B">
        <w:rPr>
          <w:rFonts w:ascii="Arial" w:hAnsi="Arial" w:cs="Arial"/>
          <w:b/>
          <w:bCs/>
          <w:sz w:val="21"/>
          <w:szCs w:val="21"/>
        </w:rPr>
        <w:t>Apologies</w:t>
      </w:r>
    </w:p>
    <w:p w14:paraId="1649D214" w14:textId="14C4EC1D" w:rsidR="000F2012" w:rsidRPr="004C112B" w:rsidRDefault="00CC1FE3" w:rsidP="00E40A6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Wilma MacKenzie</w:t>
      </w:r>
    </w:p>
    <w:p w14:paraId="6993C366" w14:textId="177E291D" w:rsidR="000F2012" w:rsidRPr="004C112B" w:rsidRDefault="000F2012" w:rsidP="00E40A60">
      <w:pPr>
        <w:rPr>
          <w:rFonts w:ascii="Arial" w:hAnsi="Arial" w:cs="Arial"/>
          <w:sz w:val="21"/>
          <w:szCs w:val="21"/>
        </w:rPr>
      </w:pPr>
    </w:p>
    <w:p w14:paraId="204274BF" w14:textId="466F43EC" w:rsidR="000F2012" w:rsidRPr="004C112B" w:rsidRDefault="000F2012" w:rsidP="00E40A60">
      <w:pPr>
        <w:rPr>
          <w:rFonts w:ascii="Arial" w:hAnsi="Arial" w:cs="Arial"/>
          <w:b/>
          <w:bCs/>
          <w:sz w:val="21"/>
          <w:szCs w:val="21"/>
        </w:rPr>
      </w:pPr>
      <w:r w:rsidRPr="004C112B">
        <w:rPr>
          <w:rFonts w:ascii="Arial" w:hAnsi="Arial" w:cs="Arial"/>
          <w:b/>
          <w:bCs/>
          <w:sz w:val="21"/>
          <w:szCs w:val="21"/>
        </w:rPr>
        <w:t xml:space="preserve">Minute of Meeting </w:t>
      </w:r>
      <w:r w:rsidR="00CC1FE3">
        <w:rPr>
          <w:rFonts w:ascii="Arial" w:hAnsi="Arial" w:cs="Arial"/>
          <w:b/>
          <w:bCs/>
          <w:sz w:val="21"/>
          <w:szCs w:val="21"/>
        </w:rPr>
        <w:t>04</w:t>
      </w:r>
      <w:r w:rsidR="00701624" w:rsidRPr="004C112B">
        <w:rPr>
          <w:rFonts w:ascii="Arial" w:hAnsi="Arial" w:cs="Arial"/>
          <w:b/>
          <w:bCs/>
          <w:sz w:val="21"/>
          <w:szCs w:val="21"/>
        </w:rPr>
        <w:t>/0</w:t>
      </w:r>
      <w:r w:rsidR="00CC1FE3">
        <w:rPr>
          <w:rFonts w:ascii="Arial" w:hAnsi="Arial" w:cs="Arial"/>
          <w:b/>
          <w:bCs/>
          <w:sz w:val="21"/>
          <w:szCs w:val="21"/>
        </w:rPr>
        <w:t>8</w:t>
      </w:r>
      <w:r w:rsidR="00701624" w:rsidRPr="004C112B">
        <w:rPr>
          <w:rFonts w:ascii="Arial" w:hAnsi="Arial" w:cs="Arial"/>
          <w:b/>
          <w:bCs/>
          <w:sz w:val="21"/>
          <w:szCs w:val="21"/>
        </w:rPr>
        <w:t>/2021</w:t>
      </w:r>
    </w:p>
    <w:p w14:paraId="644945B1" w14:textId="25F07E87" w:rsidR="000F2012" w:rsidRPr="004C112B" w:rsidRDefault="00CC1FE3" w:rsidP="00E40A6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0F2012" w:rsidRPr="004C112B">
        <w:rPr>
          <w:rFonts w:ascii="Arial" w:hAnsi="Arial" w:cs="Arial"/>
          <w:sz w:val="21"/>
          <w:szCs w:val="21"/>
        </w:rPr>
        <w:t>pproved</w:t>
      </w:r>
    </w:p>
    <w:p w14:paraId="4F94F1A0" w14:textId="0AD211F6" w:rsidR="00DB52ED" w:rsidRPr="004C112B" w:rsidRDefault="00DB52ED" w:rsidP="00E40A60">
      <w:pPr>
        <w:rPr>
          <w:rFonts w:ascii="Arial" w:hAnsi="Arial" w:cs="Arial"/>
          <w:sz w:val="21"/>
          <w:szCs w:val="21"/>
        </w:rPr>
      </w:pPr>
    </w:p>
    <w:p w14:paraId="1228427F" w14:textId="2BC0D0FD" w:rsidR="00701624" w:rsidRPr="004C112B" w:rsidRDefault="00701624" w:rsidP="00E40A60">
      <w:pPr>
        <w:rPr>
          <w:rFonts w:ascii="Arial" w:hAnsi="Arial" w:cs="Arial"/>
          <w:b/>
          <w:bCs/>
          <w:sz w:val="21"/>
          <w:szCs w:val="21"/>
        </w:rPr>
      </w:pPr>
      <w:r w:rsidRPr="004C112B">
        <w:rPr>
          <w:rFonts w:ascii="Arial" w:hAnsi="Arial" w:cs="Arial"/>
          <w:b/>
          <w:bCs/>
          <w:sz w:val="21"/>
          <w:szCs w:val="21"/>
        </w:rPr>
        <w:t>Matter</w:t>
      </w:r>
      <w:r w:rsidR="00CC1FE3">
        <w:rPr>
          <w:rFonts w:ascii="Arial" w:hAnsi="Arial" w:cs="Arial"/>
          <w:b/>
          <w:bCs/>
          <w:sz w:val="21"/>
          <w:szCs w:val="21"/>
        </w:rPr>
        <w:t>s</w:t>
      </w:r>
      <w:r w:rsidRPr="004C112B">
        <w:rPr>
          <w:rFonts w:ascii="Arial" w:hAnsi="Arial" w:cs="Arial"/>
          <w:b/>
          <w:bCs/>
          <w:sz w:val="21"/>
          <w:szCs w:val="21"/>
        </w:rPr>
        <w:t xml:space="preserve"> Arising from Minute </w:t>
      </w:r>
      <w:r w:rsidR="00CC1FE3">
        <w:rPr>
          <w:rFonts w:ascii="Arial" w:hAnsi="Arial" w:cs="Arial"/>
          <w:b/>
          <w:bCs/>
          <w:sz w:val="21"/>
          <w:szCs w:val="21"/>
        </w:rPr>
        <w:t>04/08/2021</w:t>
      </w:r>
    </w:p>
    <w:p w14:paraId="261083E3" w14:textId="77777777" w:rsidR="00CC1FE3" w:rsidRPr="00CC1FE3" w:rsidRDefault="00CC1FE3" w:rsidP="00E40A60">
      <w:pPr>
        <w:rPr>
          <w:rFonts w:ascii="Arial" w:hAnsi="Arial" w:cs="Arial"/>
          <w:sz w:val="21"/>
          <w:szCs w:val="21"/>
        </w:rPr>
      </w:pPr>
    </w:p>
    <w:p w14:paraId="0A6EA1BF" w14:textId="40883754" w:rsidR="00CC1FE3" w:rsidRPr="00B77215" w:rsidRDefault="00CC1FE3" w:rsidP="00E40A60">
      <w:pPr>
        <w:pStyle w:val="ListParagraph"/>
        <w:numPr>
          <w:ilvl w:val="0"/>
          <w:numId w:val="11"/>
        </w:numPr>
        <w:spacing w:after="0" w:line="240" w:lineRule="auto"/>
        <w:ind w:left="567" w:hanging="283"/>
        <w:rPr>
          <w:rFonts w:ascii="Arial" w:hAnsi="Arial" w:cs="Arial"/>
          <w:b/>
          <w:bCs/>
          <w:sz w:val="21"/>
          <w:szCs w:val="21"/>
        </w:rPr>
      </w:pPr>
      <w:r w:rsidRPr="00B77215">
        <w:rPr>
          <w:rFonts w:ascii="Arial" w:hAnsi="Arial" w:cs="Arial"/>
          <w:b/>
          <w:bCs/>
          <w:sz w:val="21"/>
          <w:szCs w:val="21"/>
        </w:rPr>
        <w:t>Communities Recovery Fund (CRF2) Webinar 12/08/2021</w:t>
      </w:r>
    </w:p>
    <w:p w14:paraId="6DB44DE0" w14:textId="619423C2" w:rsidR="00701624" w:rsidRPr="004C112B" w:rsidRDefault="00701624" w:rsidP="00E40A60">
      <w:pPr>
        <w:ind w:left="567"/>
        <w:rPr>
          <w:rFonts w:ascii="Arial" w:hAnsi="Arial" w:cs="Arial"/>
          <w:sz w:val="21"/>
          <w:szCs w:val="21"/>
        </w:rPr>
      </w:pPr>
      <w:r w:rsidRPr="00B77215">
        <w:rPr>
          <w:rFonts w:ascii="Arial" w:hAnsi="Arial" w:cs="Arial"/>
          <w:sz w:val="21"/>
          <w:szCs w:val="21"/>
        </w:rPr>
        <w:t xml:space="preserve">Jane confirmed that </w:t>
      </w:r>
      <w:r w:rsidR="00CC1FE3" w:rsidRPr="00B77215">
        <w:rPr>
          <w:rFonts w:ascii="Arial" w:hAnsi="Arial" w:cs="Arial"/>
          <w:sz w:val="21"/>
          <w:szCs w:val="21"/>
        </w:rPr>
        <w:t xml:space="preserve">expressions of interest were to be lodged by 31/08/2021. The date for money to be spent is 31/03/2022 therefore the timescale is too tight and the process too complicated.  </w:t>
      </w:r>
      <w:r w:rsidR="00CC1FE3">
        <w:rPr>
          <w:rFonts w:ascii="Arial" w:hAnsi="Arial" w:cs="Arial"/>
          <w:sz w:val="21"/>
          <w:szCs w:val="21"/>
        </w:rPr>
        <w:t>Agreed not to pursue any further.</w:t>
      </w:r>
    </w:p>
    <w:p w14:paraId="6E81E7A4" w14:textId="17437BF3" w:rsidR="00701624" w:rsidRDefault="00701624" w:rsidP="00E40A60">
      <w:pPr>
        <w:rPr>
          <w:rFonts w:ascii="Arial" w:hAnsi="Arial" w:cs="Arial"/>
          <w:sz w:val="21"/>
          <w:szCs w:val="21"/>
        </w:rPr>
      </w:pPr>
    </w:p>
    <w:p w14:paraId="353CF8DE" w14:textId="77777777" w:rsidR="00CC1FE3" w:rsidRPr="00B77215" w:rsidRDefault="00CC1FE3" w:rsidP="00E40A60">
      <w:pPr>
        <w:pStyle w:val="ListParagraph"/>
        <w:numPr>
          <w:ilvl w:val="0"/>
          <w:numId w:val="10"/>
        </w:numPr>
        <w:spacing w:after="0" w:line="240" w:lineRule="auto"/>
        <w:ind w:left="567" w:hanging="283"/>
        <w:rPr>
          <w:rFonts w:ascii="Arial" w:hAnsi="Arial" w:cs="Arial"/>
          <w:b/>
          <w:bCs/>
          <w:sz w:val="21"/>
          <w:szCs w:val="21"/>
        </w:rPr>
      </w:pPr>
      <w:r w:rsidRPr="00B77215">
        <w:rPr>
          <w:rFonts w:ascii="Arial" w:hAnsi="Arial" w:cs="Arial"/>
          <w:b/>
          <w:bCs/>
          <w:sz w:val="21"/>
          <w:szCs w:val="21"/>
        </w:rPr>
        <w:t>DTAS AGM Conference &amp; AGM: Community Climate Action Webinar 05-07/09/2021</w:t>
      </w:r>
    </w:p>
    <w:p w14:paraId="0E1805DF" w14:textId="31C2357A" w:rsidR="00CC1FE3" w:rsidRPr="00CC1FE3" w:rsidRDefault="00CC1FE3" w:rsidP="00E40A60">
      <w:pPr>
        <w:pStyle w:val="ListParagraph"/>
        <w:spacing w:after="0" w:line="240" w:lineRule="auto"/>
        <w:ind w:left="567"/>
        <w:rPr>
          <w:rFonts w:ascii="Arial" w:hAnsi="Arial" w:cs="Arial"/>
          <w:sz w:val="21"/>
          <w:szCs w:val="21"/>
        </w:rPr>
      </w:pPr>
      <w:r w:rsidRPr="00CC1FE3">
        <w:rPr>
          <w:rFonts w:ascii="Arial" w:hAnsi="Arial" w:cs="Arial"/>
          <w:sz w:val="21"/>
          <w:szCs w:val="21"/>
        </w:rPr>
        <w:t>David will attend.</w:t>
      </w:r>
    </w:p>
    <w:p w14:paraId="28CD07CB" w14:textId="77777777" w:rsidR="00CC1FE3" w:rsidRPr="00CC1FE3" w:rsidRDefault="00CC1FE3" w:rsidP="00E40A60">
      <w:pPr>
        <w:rPr>
          <w:rFonts w:ascii="Arial" w:hAnsi="Arial" w:cs="Arial"/>
          <w:sz w:val="21"/>
          <w:szCs w:val="21"/>
        </w:rPr>
      </w:pPr>
    </w:p>
    <w:p w14:paraId="5CB0CA4A" w14:textId="028A553A" w:rsidR="00CC1FE3" w:rsidRPr="00B77215" w:rsidRDefault="00CC1FE3" w:rsidP="00E40A60">
      <w:pPr>
        <w:pStyle w:val="ListParagraph"/>
        <w:numPr>
          <w:ilvl w:val="0"/>
          <w:numId w:val="10"/>
        </w:numPr>
        <w:spacing w:after="0" w:line="240" w:lineRule="auto"/>
        <w:ind w:left="567" w:hanging="283"/>
        <w:rPr>
          <w:rFonts w:ascii="Arial" w:hAnsi="Arial" w:cs="Arial"/>
          <w:b/>
          <w:bCs/>
          <w:sz w:val="21"/>
          <w:szCs w:val="21"/>
        </w:rPr>
      </w:pPr>
      <w:r w:rsidRPr="00B77215">
        <w:rPr>
          <w:rFonts w:ascii="Arial" w:hAnsi="Arial" w:cs="Arial"/>
          <w:b/>
          <w:bCs/>
          <w:sz w:val="21"/>
          <w:szCs w:val="21"/>
        </w:rPr>
        <w:t>Argyll and Bute Council – Mid Argyll, Kintyre and the Isles Community Planning Group Meeting 24/08/2021</w:t>
      </w:r>
    </w:p>
    <w:p w14:paraId="057651D6" w14:textId="77777777" w:rsidR="00CC1FE3" w:rsidRPr="004C112B" w:rsidRDefault="00CC1FE3" w:rsidP="00E40A60">
      <w:pPr>
        <w:rPr>
          <w:rFonts w:ascii="Arial" w:hAnsi="Arial" w:cs="Arial"/>
          <w:sz w:val="21"/>
          <w:szCs w:val="21"/>
        </w:rPr>
      </w:pPr>
    </w:p>
    <w:p w14:paraId="3977FB99" w14:textId="6623EF32" w:rsidR="000E7BF4" w:rsidRPr="00B77215" w:rsidRDefault="000E7BF4" w:rsidP="00E40A60">
      <w:pPr>
        <w:pStyle w:val="ListParagraph"/>
        <w:numPr>
          <w:ilvl w:val="0"/>
          <w:numId w:val="10"/>
        </w:numPr>
        <w:spacing w:after="0" w:line="240" w:lineRule="auto"/>
        <w:ind w:left="567" w:hanging="283"/>
        <w:rPr>
          <w:rFonts w:ascii="Arial" w:hAnsi="Arial" w:cs="Arial"/>
          <w:b/>
          <w:bCs/>
          <w:sz w:val="21"/>
          <w:szCs w:val="21"/>
        </w:rPr>
      </w:pPr>
      <w:r w:rsidRPr="00B77215">
        <w:rPr>
          <w:rFonts w:ascii="Arial" w:hAnsi="Arial" w:cs="Arial"/>
          <w:b/>
          <w:bCs/>
          <w:sz w:val="21"/>
          <w:szCs w:val="21"/>
        </w:rPr>
        <w:t>Community Plan due for review</w:t>
      </w:r>
    </w:p>
    <w:p w14:paraId="7BD829F5" w14:textId="1745E429" w:rsidR="00E40A60" w:rsidRPr="002E24B5" w:rsidRDefault="002E24B5" w:rsidP="00E40A60">
      <w:pPr>
        <w:pStyle w:val="ListParagraph"/>
        <w:spacing w:after="0" w:line="240" w:lineRule="auto"/>
        <w:ind w:left="567"/>
        <w:rPr>
          <w:rFonts w:ascii="Arial" w:hAnsi="Arial" w:cs="Arial"/>
          <w:sz w:val="21"/>
          <w:szCs w:val="21"/>
        </w:rPr>
      </w:pPr>
      <w:r w:rsidRPr="002E24B5">
        <w:rPr>
          <w:rFonts w:ascii="Arial" w:hAnsi="Arial" w:cs="Arial"/>
          <w:sz w:val="21"/>
          <w:szCs w:val="21"/>
        </w:rPr>
        <w:t>Jane to action.</w:t>
      </w:r>
    </w:p>
    <w:p w14:paraId="7B071845" w14:textId="77777777" w:rsidR="00CC1FE3" w:rsidRPr="004C112B" w:rsidRDefault="00CC1FE3" w:rsidP="00E40A60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796"/>
        <w:gridCol w:w="1128"/>
      </w:tblGrid>
      <w:tr w:rsidR="00FC66B4" w:rsidRPr="004C112B" w14:paraId="7F82F5C1" w14:textId="77777777" w:rsidTr="00701624">
        <w:trPr>
          <w:trHeight w:val="397"/>
        </w:trPr>
        <w:tc>
          <w:tcPr>
            <w:tcW w:w="8500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885C2A9" w14:textId="77777777" w:rsidR="00FC66B4" w:rsidRPr="004C112B" w:rsidRDefault="00FC66B4" w:rsidP="00E40A6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E89976C" w14:textId="59E8473C" w:rsidR="00FC66B4" w:rsidRPr="004C112B" w:rsidRDefault="00FC66B4" w:rsidP="00E40A6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Action</w:t>
            </w:r>
          </w:p>
        </w:tc>
      </w:tr>
      <w:tr w:rsidR="005A1FE9" w:rsidRPr="004C112B" w14:paraId="124BFEE6" w14:textId="77777777" w:rsidTr="001E746F">
        <w:tc>
          <w:tcPr>
            <w:tcW w:w="704" w:type="dxa"/>
            <w:tcBorders>
              <w:bottom w:val="nil"/>
            </w:tcBorders>
          </w:tcPr>
          <w:p w14:paraId="315B1E48" w14:textId="07271C8F" w:rsidR="005A1FE9" w:rsidRPr="004C112B" w:rsidRDefault="005A1FE9" w:rsidP="00E40A6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(5)</w:t>
            </w:r>
          </w:p>
        </w:tc>
        <w:tc>
          <w:tcPr>
            <w:tcW w:w="7796" w:type="dxa"/>
            <w:tcBorders>
              <w:bottom w:val="nil"/>
            </w:tcBorders>
          </w:tcPr>
          <w:p w14:paraId="5A850615" w14:textId="4BE51313" w:rsidR="005A1FE9" w:rsidRPr="004C112B" w:rsidRDefault="005A1FE9" w:rsidP="00E40A6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Correspondence</w:t>
            </w:r>
          </w:p>
        </w:tc>
        <w:tc>
          <w:tcPr>
            <w:tcW w:w="1128" w:type="dxa"/>
            <w:tcBorders>
              <w:bottom w:val="nil"/>
            </w:tcBorders>
          </w:tcPr>
          <w:p w14:paraId="3C4731BD" w14:textId="6D07490E" w:rsidR="005A1FE9" w:rsidRPr="004C112B" w:rsidRDefault="005A1FE9" w:rsidP="00E40A6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E746F" w:rsidRPr="004C112B" w14:paraId="1B34586F" w14:textId="77777777" w:rsidTr="001E746F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4B950FF6" w14:textId="77777777" w:rsidR="001E746F" w:rsidRPr="004C112B" w:rsidRDefault="001E746F" w:rsidP="00E40A6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5D727FEB" w14:textId="77777777" w:rsidR="001E746F" w:rsidRPr="004C112B" w:rsidRDefault="001E746F" w:rsidP="00E40A60">
            <w:pPr>
              <w:rPr>
                <w:rFonts w:ascii="Arial" w:hAnsi="Arial" w:cs="Arial"/>
                <w:sz w:val="21"/>
                <w:szCs w:val="21"/>
              </w:rPr>
            </w:pPr>
          </w:p>
          <w:p w14:paraId="11194DCF" w14:textId="5CC63E38" w:rsidR="004C112B" w:rsidRPr="004C112B" w:rsidRDefault="00DB0F84" w:rsidP="00E40A6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67" w:hanging="283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CO26 Virtual Event </w:t>
            </w:r>
            <w:r w:rsidR="00701624"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="00701624"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/0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8</w:t>
            </w:r>
            <w:r w:rsidR="00701624"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/2021</w:t>
            </w:r>
          </w:p>
          <w:p w14:paraId="196574D4" w14:textId="77777777" w:rsidR="005F7610" w:rsidRDefault="00DB0F84" w:rsidP="00E40A60">
            <w:pPr>
              <w:pStyle w:val="ListParagraph"/>
              <w:spacing w:after="0" w:line="240" w:lineRule="auto"/>
              <w:ind w:left="4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Jane will forward details to Tim and David.</w:t>
            </w:r>
          </w:p>
          <w:p w14:paraId="309235E5" w14:textId="4B4E642A" w:rsidR="00C054FC" w:rsidRPr="00C054FC" w:rsidRDefault="00C054FC" w:rsidP="00E40A6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14:paraId="742A70C0" w14:textId="136BB441" w:rsidR="005F7610" w:rsidRPr="004C112B" w:rsidRDefault="005F7610" w:rsidP="008223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B0F84" w:rsidRPr="004C112B" w14:paraId="4E4A5550" w14:textId="77777777" w:rsidTr="00C60A23">
        <w:tc>
          <w:tcPr>
            <w:tcW w:w="704" w:type="dxa"/>
            <w:tcBorders>
              <w:bottom w:val="nil"/>
            </w:tcBorders>
          </w:tcPr>
          <w:p w14:paraId="40F13EA9" w14:textId="28A6E0CB" w:rsidR="00DB0F84" w:rsidRPr="004C112B" w:rsidRDefault="00DB0F84" w:rsidP="00E40A6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0" w:name="_Hlk83758794"/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7796" w:type="dxa"/>
            <w:tcBorders>
              <w:bottom w:val="nil"/>
            </w:tcBorders>
          </w:tcPr>
          <w:p w14:paraId="01FDB303" w14:textId="6D3A3063" w:rsidR="00DB0F84" w:rsidRPr="004C112B" w:rsidRDefault="00C054FC" w:rsidP="00E40A6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Community Benefit Dispersal</w:t>
            </w:r>
          </w:p>
        </w:tc>
        <w:tc>
          <w:tcPr>
            <w:tcW w:w="1128" w:type="dxa"/>
            <w:tcBorders>
              <w:bottom w:val="nil"/>
            </w:tcBorders>
          </w:tcPr>
          <w:p w14:paraId="7CC936DA" w14:textId="77777777" w:rsidR="00DB0F84" w:rsidRPr="004C112B" w:rsidRDefault="00DB0F84" w:rsidP="00E40A6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DB0F84" w:rsidRPr="004C112B" w14:paraId="20637C36" w14:textId="77777777" w:rsidTr="00C60A23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14B7C23F" w14:textId="77777777" w:rsidR="00DB0F84" w:rsidRPr="004C112B" w:rsidRDefault="00DB0F84" w:rsidP="00E40A6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28833B01" w14:textId="77777777" w:rsidR="00DB0F84" w:rsidRDefault="00C054FC" w:rsidP="005927C4">
            <w:pPr>
              <w:rPr>
                <w:rFonts w:ascii="Arial" w:hAnsi="Arial" w:cs="Arial"/>
                <w:sz w:val="21"/>
                <w:szCs w:val="21"/>
              </w:rPr>
            </w:pPr>
            <w:r w:rsidRPr="00C054FC">
              <w:rPr>
                <w:rFonts w:ascii="Arial" w:hAnsi="Arial" w:cs="Arial"/>
                <w:sz w:val="21"/>
                <w:szCs w:val="21"/>
              </w:rPr>
              <w:t xml:space="preserve">Sheila confirmed that all grants have now been accepted/paid and </w:t>
            </w:r>
            <w:r w:rsidR="00F23930">
              <w:rPr>
                <w:rFonts w:ascii="Arial" w:hAnsi="Arial" w:cs="Arial"/>
                <w:sz w:val="21"/>
                <w:szCs w:val="21"/>
              </w:rPr>
              <w:t xml:space="preserve">details will be posted onto </w:t>
            </w:r>
            <w:r w:rsidRPr="00C054FC">
              <w:rPr>
                <w:rFonts w:ascii="Arial" w:hAnsi="Arial" w:cs="Arial"/>
                <w:sz w:val="21"/>
                <w:szCs w:val="21"/>
              </w:rPr>
              <w:t xml:space="preserve">website. </w:t>
            </w:r>
            <w:r w:rsidR="005927C4" w:rsidRPr="00254970">
              <w:rPr>
                <w:rFonts w:ascii="Arial" w:hAnsi="Arial" w:cs="Arial"/>
                <w:sz w:val="21"/>
                <w:szCs w:val="21"/>
              </w:rPr>
              <w:t xml:space="preserve">2020 </w:t>
            </w:r>
            <w:r w:rsidRPr="00254970">
              <w:rPr>
                <w:rFonts w:ascii="Arial" w:hAnsi="Arial" w:cs="Arial"/>
                <w:sz w:val="21"/>
                <w:szCs w:val="21"/>
              </w:rPr>
              <w:t xml:space="preserve">reports </w:t>
            </w:r>
            <w:r w:rsidR="005927C4" w:rsidRPr="00254970">
              <w:rPr>
                <w:rFonts w:ascii="Arial" w:hAnsi="Arial" w:cs="Arial"/>
                <w:sz w:val="21"/>
                <w:szCs w:val="21"/>
              </w:rPr>
              <w:t>have been requested from groups in receipt of grants. A selection of photos will be sent to RES Freasdail</w:t>
            </w:r>
            <w:r w:rsidR="00254970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67279128" w14:textId="11669C34" w:rsidR="00254970" w:rsidRPr="004C112B" w:rsidRDefault="00254970" w:rsidP="005927C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14:paraId="73F88717" w14:textId="7AB2905E" w:rsidR="00DB0F84" w:rsidRPr="004C112B" w:rsidRDefault="00DB0F84" w:rsidP="00E40A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0"/>
      <w:tr w:rsidR="00C054FC" w:rsidRPr="004C112B" w14:paraId="528D3688" w14:textId="77777777" w:rsidTr="00C60A23">
        <w:tc>
          <w:tcPr>
            <w:tcW w:w="704" w:type="dxa"/>
            <w:tcBorders>
              <w:bottom w:val="nil"/>
            </w:tcBorders>
          </w:tcPr>
          <w:p w14:paraId="1C0665D5" w14:textId="1575E879" w:rsidR="00C054FC" w:rsidRPr="004C112B" w:rsidRDefault="00C054FC" w:rsidP="00E40A6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7</w:t>
            </w: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7796" w:type="dxa"/>
            <w:tcBorders>
              <w:bottom w:val="nil"/>
            </w:tcBorders>
          </w:tcPr>
          <w:p w14:paraId="3C7D5B18" w14:textId="77777777" w:rsidR="00C054FC" w:rsidRPr="004C112B" w:rsidRDefault="00C054FC" w:rsidP="00E40A6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Tarbert Life</w:t>
            </w:r>
          </w:p>
        </w:tc>
        <w:tc>
          <w:tcPr>
            <w:tcW w:w="1128" w:type="dxa"/>
            <w:tcBorders>
              <w:bottom w:val="nil"/>
            </w:tcBorders>
          </w:tcPr>
          <w:p w14:paraId="301C8E56" w14:textId="77777777" w:rsidR="00C054FC" w:rsidRPr="004C112B" w:rsidRDefault="00C054FC" w:rsidP="00E40A6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C054FC" w:rsidRPr="004C112B" w14:paraId="5E8995DA" w14:textId="77777777" w:rsidTr="00C60A23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0E71EF94" w14:textId="77777777" w:rsidR="00C054FC" w:rsidRPr="004C112B" w:rsidRDefault="00C054FC" w:rsidP="00E40A6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4400B105" w14:textId="6A9846DB" w:rsidR="00C054FC" w:rsidRDefault="00C054FC" w:rsidP="00E40A60">
            <w:pPr>
              <w:rPr>
                <w:rFonts w:ascii="Arial" w:hAnsi="Arial" w:cs="Arial"/>
                <w:sz w:val="21"/>
                <w:szCs w:val="21"/>
              </w:rPr>
            </w:pPr>
            <w:r w:rsidRPr="00254970">
              <w:rPr>
                <w:rFonts w:ascii="Arial" w:hAnsi="Arial" w:cs="Arial"/>
                <w:sz w:val="21"/>
                <w:szCs w:val="21"/>
              </w:rPr>
              <w:t xml:space="preserve">No update on the project itself however Alistair confirmed that a </w:t>
            </w:r>
            <w:r w:rsidR="005927C4" w:rsidRPr="00254970">
              <w:rPr>
                <w:rFonts w:ascii="Arial" w:hAnsi="Arial" w:cs="Arial"/>
                <w:sz w:val="21"/>
                <w:szCs w:val="21"/>
              </w:rPr>
              <w:t xml:space="preserve">war </w:t>
            </w:r>
            <w:r w:rsidRPr="00254970">
              <w:rPr>
                <w:rFonts w:ascii="Arial" w:hAnsi="Arial" w:cs="Arial"/>
                <w:sz w:val="21"/>
                <w:szCs w:val="21"/>
              </w:rPr>
              <w:t xml:space="preserve">memorial </w:t>
            </w:r>
            <w:r w:rsidR="005927C4" w:rsidRPr="00254970">
              <w:rPr>
                <w:rFonts w:ascii="Arial" w:hAnsi="Arial" w:cs="Arial"/>
                <w:sz w:val="21"/>
                <w:szCs w:val="21"/>
              </w:rPr>
              <w:t>section</w:t>
            </w:r>
            <w:r w:rsidRPr="00254970">
              <w:rPr>
                <w:rFonts w:ascii="Arial" w:hAnsi="Arial" w:cs="Arial"/>
                <w:sz w:val="21"/>
                <w:szCs w:val="21"/>
              </w:rPr>
              <w:t xml:space="preserve"> for </w:t>
            </w:r>
            <w:r w:rsidR="005927C4" w:rsidRPr="00254970">
              <w:rPr>
                <w:rFonts w:ascii="Arial" w:hAnsi="Arial" w:cs="Arial"/>
                <w:sz w:val="21"/>
                <w:szCs w:val="21"/>
              </w:rPr>
              <w:t>Tarbert Life website</w:t>
            </w:r>
            <w:r w:rsidR="005927C4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is being worked on.</w:t>
            </w:r>
          </w:p>
          <w:p w14:paraId="6993E5C1" w14:textId="77777777" w:rsidR="00C054FC" w:rsidRDefault="00C054FC" w:rsidP="00E40A60">
            <w:pPr>
              <w:rPr>
                <w:rFonts w:ascii="Arial" w:hAnsi="Arial" w:cs="Arial"/>
                <w:sz w:val="21"/>
                <w:szCs w:val="21"/>
              </w:rPr>
            </w:pPr>
          </w:p>
          <w:p w14:paraId="69E20E41" w14:textId="25D4E605" w:rsidR="00C054FC" w:rsidRPr="004C112B" w:rsidRDefault="00E970BB" w:rsidP="00E40A6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="00C054FC">
              <w:rPr>
                <w:rFonts w:ascii="Arial" w:hAnsi="Arial" w:cs="Arial"/>
                <w:sz w:val="21"/>
                <w:szCs w:val="21"/>
              </w:rPr>
              <w:t xml:space="preserve">greed that sign should be painted over </w:t>
            </w:r>
            <w:r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="00C054FC">
              <w:rPr>
                <w:rFonts w:ascii="Arial" w:hAnsi="Arial" w:cs="Arial"/>
                <w:sz w:val="21"/>
                <w:szCs w:val="21"/>
              </w:rPr>
              <w:t xml:space="preserve">Sheila/Jane </w:t>
            </w:r>
            <w:r>
              <w:rPr>
                <w:rFonts w:ascii="Arial" w:hAnsi="Arial" w:cs="Arial"/>
                <w:sz w:val="21"/>
                <w:szCs w:val="21"/>
              </w:rPr>
              <w:t xml:space="preserve">to </w:t>
            </w:r>
            <w:r w:rsidR="00C054FC">
              <w:rPr>
                <w:rFonts w:ascii="Arial" w:hAnsi="Arial" w:cs="Arial"/>
                <w:sz w:val="21"/>
                <w:szCs w:val="21"/>
              </w:rPr>
              <w:t xml:space="preserve">contact </w:t>
            </w:r>
            <w:proofErr w:type="spellStart"/>
            <w:r w:rsidR="00C054FC">
              <w:rPr>
                <w:rFonts w:ascii="Arial" w:hAnsi="Arial" w:cs="Arial"/>
                <w:sz w:val="21"/>
                <w:szCs w:val="21"/>
              </w:rPr>
              <w:t>Cupples</w:t>
            </w:r>
            <w:proofErr w:type="spellEnd"/>
            <w:r w:rsidR="00C054FC">
              <w:rPr>
                <w:rFonts w:ascii="Arial" w:hAnsi="Arial" w:cs="Arial"/>
                <w:sz w:val="21"/>
                <w:szCs w:val="21"/>
              </w:rPr>
              <w:t xml:space="preserve"> for a quote.</w:t>
            </w:r>
          </w:p>
          <w:p w14:paraId="2049B818" w14:textId="77777777" w:rsidR="00C054FC" w:rsidRPr="004C112B" w:rsidRDefault="00C054FC" w:rsidP="00E40A6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14:paraId="47283A73" w14:textId="77777777" w:rsidR="00C054FC" w:rsidRDefault="00C054FC" w:rsidP="00E40A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D571D6C" w14:textId="77777777" w:rsidR="00C054FC" w:rsidRDefault="00C054FC" w:rsidP="00E40A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210BBA9" w14:textId="77777777" w:rsidR="00C054FC" w:rsidRDefault="00C054FC" w:rsidP="00E40A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6FC0CF3" w14:textId="77777777" w:rsidR="00C054FC" w:rsidRPr="004C112B" w:rsidRDefault="00C054FC" w:rsidP="00E40A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SC/JC</w:t>
            </w:r>
          </w:p>
        </w:tc>
      </w:tr>
    </w:tbl>
    <w:p w14:paraId="2813E75C" w14:textId="497E0C73" w:rsidR="004C112B" w:rsidRDefault="004C112B" w:rsidP="00E40A60">
      <w:pPr>
        <w:rPr>
          <w:rFonts w:ascii="Arial" w:hAnsi="Arial" w:cs="Arial"/>
          <w:sz w:val="21"/>
          <w:szCs w:val="21"/>
        </w:rPr>
      </w:pPr>
    </w:p>
    <w:p w14:paraId="03B07B5C" w14:textId="6F4EAD6B" w:rsidR="00254970" w:rsidRDefault="00254970" w:rsidP="00E40A60">
      <w:pPr>
        <w:rPr>
          <w:rFonts w:ascii="Arial" w:hAnsi="Arial" w:cs="Arial"/>
          <w:sz w:val="21"/>
          <w:szCs w:val="21"/>
        </w:rPr>
      </w:pPr>
    </w:p>
    <w:p w14:paraId="385FC860" w14:textId="4D96D0EF" w:rsidR="002E24B5" w:rsidRDefault="002E24B5" w:rsidP="00E40A60">
      <w:pPr>
        <w:rPr>
          <w:rFonts w:ascii="Arial" w:hAnsi="Arial" w:cs="Arial"/>
          <w:sz w:val="21"/>
          <w:szCs w:val="21"/>
        </w:rPr>
      </w:pPr>
    </w:p>
    <w:p w14:paraId="2DDA344C" w14:textId="2715086D" w:rsidR="002E24B5" w:rsidRDefault="002E24B5" w:rsidP="00E40A60">
      <w:pPr>
        <w:rPr>
          <w:rFonts w:ascii="Arial" w:hAnsi="Arial" w:cs="Arial"/>
          <w:sz w:val="21"/>
          <w:szCs w:val="21"/>
        </w:rPr>
      </w:pPr>
    </w:p>
    <w:p w14:paraId="6CF0F5A4" w14:textId="77777777" w:rsidR="002E24B5" w:rsidRDefault="002E24B5" w:rsidP="00E40A60">
      <w:pPr>
        <w:rPr>
          <w:rFonts w:ascii="Arial" w:hAnsi="Arial" w:cs="Arial"/>
          <w:sz w:val="21"/>
          <w:szCs w:val="21"/>
        </w:rPr>
      </w:pPr>
    </w:p>
    <w:p w14:paraId="59E32DB7" w14:textId="7B5D9E0B" w:rsidR="00254970" w:rsidRDefault="00254970" w:rsidP="00E40A60">
      <w:pPr>
        <w:rPr>
          <w:rFonts w:ascii="Arial" w:hAnsi="Arial" w:cs="Arial"/>
          <w:sz w:val="21"/>
          <w:szCs w:val="21"/>
        </w:rPr>
      </w:pPr>
    </w:p>
    <w:p w14:paraId="518500A9" w14:textId="76772630" w:rsidR="00254970" w:rsidRDefault="00254970" w:rsidP="00E40A60">
      <w:pPr>
        <w:rPr>
          <w:rFonts w:ascii="Arial" w:hAnsi="Arial" w:cs="Arial"/>
          <w:sz w:val="21"/>
          <w:szCs w:val="21"/>
        </w:rPr>
      </w:pPr>
    </w:p>
    <w:p w14:paraId="5400F4A0" w14:textId="77777777" w:rsidR="00254970" w:rsidRDefault="00254970" w:rsidP="00E40A60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796"/>
        <w:gridCol w:w="1128"/>
      </w:tblGrid>
      <w:tr w:rsidR="005F7610" w:rsidRPr="004C112B" w14:paraId="2E845862" w14:textId="77777777" w:rsidTr="00521F1F">
        <w:trPr>
          <w:trHeight w:val="397"/>
        </w:trPr>
        <w:tc>
          <w:tcPr>
            <w:tcW w:w="8500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0F677C3" w14:textId="77777777" w:rsidR="005F7610" w:rsidRPr="004C112B" w:rsidRDefault="005F7610" w:rsidP="00E40A6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A5D75FE" w14:textId="77777777" w:rsidR="005F7610" w:rsidRPr="004C112B" w:rsidRDefault="005F7610" w:rsidP="00E40A6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Action</w:t>
            </w:r>
          </w:p>
        </w:tc>
      </w:tr>
      <w:tr w:rsidR="005F7610" w:rsidRPr="004C112B" w14:paraId="39F46B86" w14:textId="77777777" w:rsidTr="004C112B">
        <w:tc>
          <w:tcPr>
            <w:tcW w:w="704" w:type="dxa"/>
            <w:tcBorders>
              <w:bottom w:val="nil"/>
            </w:tcBorders>
          </w:tcPr>
          <w:p w14:paraId="1B6A64E3" w14:textId="77777777" w:rsidR="005F7610" w:rsidRPr="004C112B" w:rsidRDefault="005F7610" w:rsidP="00E40A6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(8)</w:t>
            </w:r>
          </w:p>
        </w:tc>
        <w:tc>
          <w:tcPr>
            <w:tcW w:w="7796" w:type="dxa"/>
            <w:tcBorders>
              <w:bottom w:val="nil"/>
            </w:tcBorders>
          </w:tcPr>
          <w:p w14:paraId="5BAD148E" w14:textId="77777777" w:rsidR="005F7610" w:rsidRPr="004C112B" w:rsidRDefault="005F7610" w:rsidP="00E40A6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Tarbert &amp; Skipness Housing</w:t>
            </w:r>
          </w:p>
        </w:tc>
        <w:tc>
          <w:tcPr>
            <w:tcW w:w="1128" w:type="dxa"/>
            <w:tcBorders>
              <w:bottom w:val="nil"/>
            </w:tcBorders>
          </w:tcPr>
          <w:p w14:paraId="19FA7F5A" w14:textId="77777777" w:rsidR="005F7610" w:rsidRPr="004C112B" w:rsidRDefault="005F7610" w:rsidP="00E40A6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5F7610" w:rsidRPr="004C112B" w14:paraId="660F7A25" w14:textId="77777777" w:rsidTr="004C112B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70CDC69F" w14:textId="77777777" w:rsidR="005F7610" w:rsidRPr="004C112B" w:rsidRDefault="005F7610" w:rsidP="00E40A6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1340E5D6" w14:textId="77777777" w:rsidR="00E4780C" w:rsidRDefault="00E4780C" w:rsidP="00E40A60">
            <w:pPr>
              <w:rPr>
                <w:rFonts w:ascii="Arial" w:hAnsi="Arial" w:cs="Arial"/>
                <w:sz w:val="21"/>
                <w:szCs w:val="21"/>
              </w:rPr>
            </w:pPr>
          </w:p>
          <w:p w14:paraId="054789BB" w14:textId="4A37DE67" w:rsidR="00E4780C" w:rsidRPr="00B77215" w:rsidRDefault="00F15796" w:rsidP="00B77215">
            <w:pPr>
              <w:pStyle w:val="ListParagraph"/>
              <w:numPr>
                <w:ilvl w:val="0"/>
                <w:numId w:val="10"/>
              </w:numPr>
              <w:ind w:left="467" w:hanging="283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77215">
              <w:rPr>
                <w:rFonts w:ascii="Arial" w:hAnsi="Arial" w:cs="Arial"/>
                <w:b/>
                <w:bCs/>
                <w:sz w:val="21"/>
                <w:szCs w:val="21"/>
              </w:rPr>
              <w:t>David</w:t>
            </w:r>
          </w:p>
          <w:p w14:paraId="623746FD" w14:textId="30C4A496" w:rsidR="0039048A" w:rsidRPr="00254970" w:rsidRDefault="00E4780C" w:rsidP="00B77215">
            <w:pPr>
              <w:ind w:left="467"/>
              <w:rPr>
                <w:rFonts w:ascii="Arial" w:hAnsi="Arial" w:cs="Arial"/>
                <w:sz w:val="21"/>
                <w:szCs w:val="21"/>
              </w:rPr>
            </w:pPr>
            <w:r w:rsidRPr="00254970">
              <w:rPr>
                <w:rFonts w:ascii="Arial" w:hAnsi="Arial" w:cs="Arial"/>
                <w:sz w:val="21"/>
                <w:szCs w:val="21"/>
              </w:rPr>
              <w:t>A</w:t>
            </w:r>
            <w:r w:rsidR="00F15796" w:rsidRPr="00254970">
              <w:rPr>
                <w:rFonts w:ascii="Arial" w:hAnsi="Arial" w:cs="Arial"/>
                <w:sz w:val="21"/>
                <w:szCs w:val="21"/>
              </w:rPr>
              <w:t>dvised that i</w:t>
            </w:r>
            <w:r w:rsidR="00A54EDF" w:rsidRPr="00254970">
              <w:rPr>
                <w:rFonts w:ascii="Arial" w:hAnsi="Arial" w:cs="Arial"/>
                <w:sz w:val="21"/>
                <w:szCs w:val="21"/>
              </w:rPr>
              <w:t xml:space="preserve">nvitation to tender sent to six organisations of which </w:t>
            </w:r>
            <w:r w:rsidR="005927C4" w:rsidRPr="00254970">
              <w:rPr>
                <w:rFonts w:ascii="Arial" w:hAnsi="Arial" w:cs="Arial"/>
                <w:sz w:val="21"/>
                <w:szCs w:val="21"/>
              </w:rPr>
              <w:t>Ironside Farrar</w:t>
            </w:r>
            <w:r w:rsidR="00254970" w:rsidRPr="0025497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54EDF" w:rsidRPr="00254970">
              <w:rPr>
                <w:rFonts w:ascii="Arial" w:hAnsi="Arial" w:cs="Arial"/>
                <w:sz w:val="21"/>
                <w:szCs w:val="21"/>
              </w:rPr>
              <w:t>(</w:t>
            </w:r>
            <w:r w:rsidR="005927C4" w:rsidRPr="00254970">
              <w:rPr>
                <w:rFonts w:ascii="Arial" w:hAnsi="Arial" w:cs="Arial"/>
                <w:sz w:val="21"/>
                <w:szCs w:val="21"/>
              </w:rPr>
              <w:t>I</w:t>
            </w:r>
            <w:r w:rsidR="00A54EDF" w:rsidRPr="00254970">
              <w:rPr>
                <w:rFonts w:ascii="Arial" w:hAnsi="Arial" w:cs="Arial"/>
                <w:sz w:val="21"/>
                <w:szCs w:val="21"/>
              </w:rPr>
              <w:t xml:space="preserve">F) and Community Housing Scotland (CHS) responded. </w:t>
            </w:r>
            <w:r w:rsidR="0039048A" w:rsidRPr="00254970">
              <w:rPr>
                <w:rFonts w:ascii="Arial" w:hAnsi="Arial" w:cs="Arial"/>
                <w:sz w:val="21"/>
                <w:szCs w:val="21"/>
              </w:rPr>
              <w:t>I</w:t>
            </w:r>
            <w:r w:rsidR="00A54EDF" w:rsidRPr="00254970">
              <w:rPr>
                <w:rFonts w:ascii="Arial" w:hAnsi="Arial" w:cs="Arial"/>
                <w:sz w:val="21"/>
                <w:szCs w:val="21"/>
              </w:rPr>
              <w:t>F preferred option.</w:t>
            </w:r>
            <w:r w:rsidR="00254970" w:rsidRPr="0025497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9048A" w:rsidRPr="00254970">
              <w:rPr>
                <w:rFonts w:ascii="Arial" w:hAnsi="Arial" w:cs="Arial"/>
                <w:sz w:val="21"/>
                <w:szCs w:val="21"/>
              </w:rPr>
              <w:t>IF included estimates of cost of land depending on its possible future use and had additional information regarding the issue of the route of the pylons and was the preferred bidder.</w:t>
            </w:r>
          </w:p>
          <w:p w14:paraId="08EB560A" w14:textId="77777777" w:rsidR="00254970" w:rsidRPr="00254970" w:rsidRDefault="00254970" w:rsidP="00B77215">
            <w:pPr>
              <w:ind w:left="467"/>
              <w:rPr>
                <w:rFonts w:ascii="Arial" w:hAnsi="Arial" w:cs="Arial"/>
                <w:sz w:val="21"/>
                <w:szCs w:val="21"/>
              </w:rPr>
            </w:pPr>
          </w:p>
          <w:p w14:paraId="08942C80" w14:textId="02EAE8A3" w:rsidR="00F15796" w:rsidRDefault="00F15796" w:rsidP="00B77215">
            <w:pPr>
              <w:ind w:left="467"/>
              <w:rPr>
                <w:rFonts w:ascii="Arial" w:hAnsi="Arial" w:cs="Arial"/>
                <w:sz w:val="21"/>
                <w:szCs w:val="21"/>
              </w:rPr>
            </w:pPr>
            <w:r w:rsidRPr="00254970">
              <w:rPr>
                <w:rFonts w:ascii="Arial" w:hAnsi="Arial" w:cs="Arial"/>
                <w:sz w:val="21"/>
                <w:szCs w:val="21"/>
              </w:rPr>
              <w:t xml:space="preserve">Scottish Land Fund (SLF) application becoming too difficult to </w:t>
            </w:r>
            <w:r w:rsidR="0039048A" w:rsidRPr="00254970">
              <w:rPr>
                <w:rFonts w:ascii="Arial" w:hAnsi="Arial" w:cs="Arial"/>
                <w:sz w:val="21"/>
                <w:szCs w:val="21"/>
              </w:rPr>
              <w:t>pursue</w:t>
            </w:r>
            <w:r w:rsidRPr="00254970">
              <w:rPr>
                <w:rFonts w:ascii="Arial" w:hAnsi="Arial" w:cs="Arial"/>
                <w:sz w:val="21"/>
                <w:szCs w:val="21"/>
              </w:rPr>
              <w:t xml:space="preserve"> due to</w:t>
            </w:r>
            <w:r w:rsidR="0039048A" w:rsidRPr="00254970">
              <w:rPr>
                <w:rFonts w:ascii="Arial" w:hAnsi="Arial" w:cs="Arial"/>
                <w:sz w:val="21"/>
                <w:szCs w:val="21"/>
              </w:rPr>
              <w:t xml:space="preserve"> our fit with their criteria</w:t>
            </w:r>
            <w:r w:rsidRPr="0025497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9048A" w:rsidRPr="00254970">
              <w:rPr>
                <w:rFonts w:ascii="Arial" w:hAnsi="Arial" w:cs="Arial"/>
                <w:sz w:val="21"/>
                <w:szCs w:val="21"/>
              </w:rPr>
              <w:t xml:space="preserve">and </w:t>
            </w:r>
            <w:r w:rsidRPr="00254970">
              <w:rPr>
                <w:rFonts w:ascii="Arial" w:hAnsi="Arial" w:cs="Arial"/>
                <w:sz w:val="21"/>
                <w:szCs w:val="21"/>
              </w:rPr>
              <w:t>timescales.</w:t>
            </w:r>
          </w:p>
          <w:p w14:paraId="0F85EFA0" w14:textId="279F9E48" w:rsidR="00F15796" w:rsidRDefault="00F15796" w:rsidP="00E40A60">
            <w:pPr>
              <w:rPr>
                <w:rFonts w:ascii="Arial" w:hAnsi="Arial" w:cs="Arial"/>
                <w:sz w:val="21"/>
                <w:szCs w:val="21"/>
              </w:rPr>
            </w:pPr>
          </w:p>
          <w:p w14:paraId="119C0F60" w14:textId="381130C1" w:rsidR="00F15796" w:rsidRDefault="00F15796" w:rsidP="00B77215">
            <w:pPr>
              <w:ind w:left="4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Lorna R asked if no longer pursuing SLF how will land be purchased? David commented that perhaps the Trust could fund £25/£30</w:t>
            </w:r>
            <w:r w:rsidR="00254970">
              <w:rPr>
                <w:rFonts w:ascii="Arial" w:hAnsi="Arial" w:cs="Arial"/>
                <w:sz w:val="21"/>
                <w:szCs w:val="21"/>
              </w:rPr>
              <w:t>,000</w:t>
            </w:r>
            <w:r>
              <w:rPr>
                <w:rFonts w:ascii="Arial" w:hAnsi="Arial" w:cs="Arial"/>
                <w:sz w:val="21"/>
                <w:szCs w:val="21"/>
              </w:rPr>
              <w:t xml:space="preserve"> via Srondoire or a commercial loan. Waiting on feedback from lawyers. </w:t>
            </w:r>
          </w:p>
          <w:p w14:paraId="4AFCEE69" w14:textId="25C85D81" w:rsidR="00F15796" w:rsidRDefault="00F15796" w:rsidP="00E40A60">
            <w:pPr>
              <w:rPr>
                <w:rFonts w:ascii="Arial" w:hAnsi="Arial" w:cs="Arial"/>
                <w:sz w:val="21"/>
                <w:szCs w:val="21"/>
              </w:rPr>
            </w:pPr>
          </w:p>
          <w:p w14:paraId="12B7F3CF" w14:textId="413AF6BD" w:rsidR="00F15796" w:rsidRDefault="00F15796" w:rsidP="00B77215">
            <w:pPr>
              <w:ind w:left="4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Charles asked if Trust could still advance Stage 1 whilst recognising that Stage 2 wouldn’t be achievable? David agreed re Stage 1 but wants to speak to Helen re an alternative backup – Charles will forward some comments to David to assist with response.</w:t>
            </w:r>
          </w:p>
          <w:p w14:paraId="0E18985D" w14:textId="6099EA3F" w:rsidR="00F15796" w:rsidRDefault="00F15796" w:rsidP="00E40A60">
            <w:pPr>
              <w:rPr>
                <w:rFonts w:ascii="Arial" w:hAnsi="Arial" w:cs="Arial"/>
                <w:sz w:val="21"/>
                <w:szCs w:val="21"/>
              </w:rPr>
            </w:pPr>
          </w:p>
          <w:p w14:paraId="0BBC5126" w14:textId="035138DD" w:rsidR="00F15796" w:rsidRDefault="00F15796" w:rsidP="00B77215">
            <w:pPr>
              <w:ind w:left="4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Agreed that </w:t>
            </w:r>
            <w:r w:rsidRPr="00254970">
              <w:rPr>
                <w:rFonts w:ascii="Arial" w:hAnsi="Arial" w:cs="Arial"/>
                <w:sz w:val="21"/>
                <w:szCs w:val="21"/>
              </w:rPr>
              <w:t xml:space="preserve">David should </w:t>
            </w:r>
            <w:r w:rsidR="0039048A" w:rsidRPr="00254970">
              <w:rPr>
                <w:rFonts w:ascii="Arial" w:hAnsi="Arial" w:cs="Arial"/>
                <w:sz w:val="21"/>
                <w:szCs w:val="21"/>
              </w:rPr>
              <w:t xml:space="preserve">approach </w:t>
            </w:r>
            <w:r w:rsidRPr="00254970">
              <w:rPr>
                <w:rFonts w:ascii="Arial" w:hAnsi="Arial" w:cs="Arial"/>
                <w:sz w:val="21"/>
                <w:szCs w:val="21"/>
              </w:rPr>
              <w:t>Rural Housing Fund.</w:t>
            </w:r>
          </w:p>
          <w:p w14:paraId="47A380D8" w14:textId="75F9881B" w:rsidR="00E4780C" w:rsidRPr="00E4780C" w:rsidRDefault="00E4780C" w:rsidP="00E4780C">
            <w:pPr>
              <w:rPr>
                <w:rFonts w:ascii="Arial" w:hAnsi="Arial" w:cs="Arial"/>
                <w:sz w:val="21"/>
                <w:szCs w:val="21"/>
              </w:rPr>
            </w:pPr>
          </w:p>
          <w:p w14:paraId="5401435E" w14:textId="6E6DC5E0" w:rsidR="00E4780C" w:rsidRPr="00B77215" w:rsidRDefault="00E4780C" w:rsidP="00B77215">
            <w:pPr>
              <w:pStyle w:val="ListParagraph"/>
              <w:numPr>
                <w:ilvl w:val="0"/>
                <w:numId w:val="10"/>
              </w:numPr>
              <w:ind w:left="467" w:hanging="283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77215">
              <w:rPr>
                <w:rFonts w:ascii="Arial" w:hAnsi="Arial" w:cs="Arial"/>
                <w:b/>
                <w:bCs/>
                <w:sz w:val="21"/>
                <w:szCs w:val="21"/>
              </w:rPr>
              <w:t>Charles</w:t>
            </w:r>
          </w:p>
          <w:p w14:paraId="1960BFC4" w14:textId="7BEFD55E" w:rsidR="00E4780C" w:rsidRDefault="00E4780C" w:rsidP="00B77215">
            <w:pPr>
              <w:ind w:left="4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Argyll and Bute Council’s (ABC) September 2021 report highlighted that they don’t see a </w:t>
            </w:r>
            <w:r w:rsidRPr="00254970">
              <w:rPr>
                <w:rFonts w:ascii="Arial" w:hAnsi="Arial" w:cs="Arial"/>
                <w:sz w:val="21"/>
                <w:szCs w:val="21"/>
              </w:rPr>
              <w:t xml:space="preserve">need for another housing </w:t>
            </w:r>
            <w:r w:rsidR="0039048A" w:rsidRPr="00254970">
              <w:rPr>
                <w:rFonts w:ascii="Arial" w:hAnsi="Arial" w:cs="Arial"/>
                <w:sz w:val="21"/>
                <w:szCs w:val="21"/>
              </w:rPr>
              <w:t xml:space="preserve">needs and demand </w:t>
            </w:r>
            <w:r w:rsidRPr="00254970">
              <w:rPr>
                <w:rFonts w:ascii="Arial" w:hAnsi="Arial" w:cs="Arial"/>
                <w:sz w:val="21"/>
                <w:szCs w:val="21"/>
              </w:rPr>
              <w:t xml:space="preserve">assessment but agree there is </w:t>
            </w:r>
            <w:r w:rsidR="0039048A" w:rsidRPr="00254970">
              <w:rPr>
                <w:rFonts w:ascii="Arial" w:hAnsi="Arial" w:cs="Arial"/>
                <w:sz w:val="21"/>
                <w:szCs w:val="21"/>
              </w:rPr>
              <w:t xml:space="preserve">an unmet need in Tarbert and Skipness from the </w:t>
            </w:r>
            <w:r w:rsidRPr="00254970">
              <w:rPr>
                <w:rFonts w:ascii="Arial" w:hAnsi="Arial" w:cs="Arial"/>
                <w:sz w:val="21"/>
                <w:szCs w:val="21"/>
              </w:rPr>
              <w:t xml:space="preserve">2016 survey: </w:t>
            </w:r>
            <w:r w:rsidR="0039048A" w:rsidRPr="00254970">
              <w:rPr>
                <w:rFonts w:ascii="Arial" w:hAnsi="Arial" w:cs="Arial"/>
                <w:sz w:val="21"/>
                <w:szCs w:val="21"/>
              </w:rPr>
              <w:t xml:space="preserve">In the 2016 survey there were </w:t>
            </w:r>
            <w:r w:rsidRPr="00254970">
              <w:rPr>
                <w:rFonts w:ascii="Arial" w:hAnsi="Arial" w:cs="Arial"/>
                <w:sz w:val="21"/>
                <w:szCs w:val="21"/>
              </w:rPr>
              <w:t xml:space="preserve">141 properties </w:t>
            </w:r>
            <w:r w:rsidR="0039048A" w:rsidRPr="00254970">
              <w:rPr>
                <w:rFonts w:ascii="Arial" w:hAnsi="Arial" w:cs="Arial"/>
                <w:sz w:val="21"/>
                <w:szCs w:val="21"/>
              </w:rPr>
              <w:t xml:space="preserve">in the area </w:t>
            </w:r>
            <w:r w:rsidRPr="00254970">
              <w:rPr>
                <w:rFonts w:ascii="Arial" w:hAnsi="Arial" w:cs="Arial"/>
                <w:sz w:val="21"/>
                <w:szCs w:val="21"/>
              </w:rPr>
              <w:t>but now 16</w:t>
            </w:r>
            <w:r w:rsidR="0039048A" w:rsidRPr="00254970">
              <w:rPr>
                <w:rFonts w:ascii="Arial" w:hAnsi="Arial" w:cs="Arial"/>
                <w:sz w:val="21"/>
                <w:szCs w:val="21"/>
              </w:rPr>
              <w:t>1</w:t>
            </w:r>
            <w:r w:rsidRPr="00254970">
              <w:rPr>
                <w:rFonts w:ascii="Arial" w:hAnsi="Arial" w:cs="Arial"/>
                <w:sz w:val="21"/>
                <w:szCs w:val="21"/>
              </w:rPr>
              <w:t xml:space="preserve"> – waiting on clarification if original number was incorrect.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6F4D5BE7" w14:textId="21569477" w:rsidR="00E4780C" w:rsidRDefault="0039048A" w:rsidP="00E478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8603F16" w14:textId="4FF1AC5E" w:rsidR="00A54EDF" w:rsidRDefault="00E4780C" w:rsidP="00B77215">
            <w:pPr>
              <w:ind w:left="4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ACHA and Fyne Homes share housing waiting list. ACHA have 56 one bedroom, 81 two bedroom and 24 three bedroom – Activity Report September 2020. </w:t>
            </w:r>
          </w:p>
          <w:p w14:paraId="28CE0A1E" w14:textId="0366F14D" w:rsidR="00E4780C" w:rsidRDefault="00E4780C" w:rsidP="00E4780C">
            <w:pPr>
              <w:rPr>
                <w:rFonts w:ascii="Arial" w:hAnsi="Arial" w:cs="Arial"/>
                <w:sz w:val="21"/>
                <w:szCs w:val="21"/>
              </w:rPr>
            </w:pPr>
          </w:p>
          <w:p w14:paraId="72A5CFF5" w14:textId="1447B728" w:rsidR="00E4780C" w:rsidRDefault="00E4780C" w:rsidP="00B77215">
            <w:pPr>
              <w:ind w:left="467"/>
              <w:rPr>
                <w:rFonts w:ascii="Arial" w:hAnsi="Arial" w:cs="Arial"/>
                <w:sz w:val="21"/>
                <w:szCs w:val="21"/>
              </w:rPr>
            </w:pPr>
            <w:r w:rsidRPr="00254970">
              <w:rPr>
                <w:rFonts w:ascii="Arial" w:hAnsi="Arial" w:cs="Arial"/>
                <w:sz w:val="21"/>
                <w:szCs w:val="21"/>
              </w:rPr>
              <w:t xml:space="preserve">Still waiting on ACHA to respond to joint venture with Trust. Fyne Homes </w:t>
            </w:r>
            <w:r w:rsidR="0040585B" w:rsidRPr="00254970">
              <w:rPr>
                <w:rFonts w:ascii="Arial" w:hAnsi="Arial" w:cs="Arial"/>
                <w:sz w:val="21"/>
                <w:szCs w:val="21"/>
              </w:rPr>
              <w:t>indicated support</w:t>
            </w:r>
            <w:r>
              <w:rPr>
                <w:rFonts w:ascii="Arial" w:hAnsi="Arial" w:cs="Arial"/>
                <w:sz w:val="21"/>
                <w:szCs w:val="21"/>
              </w:rPr>
              <w:t xml:space="preserve"> as long as assessment supports need – they have no finance now or in future years to develop housing.</w:t>
            </w:r>
          </w:p>
          <w:p w14:paraId="788D9671" w14:textId="6AD15C04" w:rsidR="00E4780C" w:rsidRDefault="00E4780C" w:rsidP="00E4780C">
            <w:pPr>
              <w:rPr>
                <w:rFonts w:ascii="Arial" w:hAnsi="Arial" w:cs="Arial"/>
                <w:sz w:val="21"/>
                <w:szCs w:val="21"/>
              </w:rPr>
            </w:pPr>
          </w:p>
          <w:p w14:paraId="7CC4061A" w14:textId="1F678945" w:rsidR="00E4780C" w:rsidRDefault="00E4780C" w:rsidP="00B77215">
            <w:pPr>
              <w:ind w:left="4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Will continue to follow up with ABC and Fyne Homes.</w:t>
            </w:r>
          </w:p>
          <w:p w14:paraId="0BAC144D" w14:textId="6E8A64D0" w:rsidR="00E4780C" w:rsidRDefault="00E4780C" w:rsidP="00E40A60">
            <w:pPr>
              <w:rPr>
                <w:rFonts w:ascii="Arial" w:hAnsi="Arial" w:cs="Arial"/>
                <w:sz w:val="21"/>
                <w:szCs w:val="21"/>
              </w:rPr>
            </w:pPr>
          </w:p>
          <w:p w14:paraId="4E4A7161" w14:textId="3061BF14" w:rsidR="00B77215" w:rsidRDefault="00B77215" w:rsidP="00E40A6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Priority is to obtain land which has to be fit for purpose.</w:t>
            </w:r>
          </w:p>
          <w:p w14:paraId="2B5D8337" w14:textId="77777777" w:rsidR="00B77215" w:rsidRDefault="00B77215" w:rsidP="00E40A60">
            <w:pPr>
              <w:rPr>
                <w:rFonts w:ascii="Arial" w:hAnsi="Arial" w:cs="Arial"/>
                <w:sz w:val="21"/>
                <w:szCs w:val="21"/>
              </w:rPr>
            </w:pPr>
          </w:p>
          <w:p w14:paraId="7ADE2438" w14:textId="5AA0B087" w:rsidR="00B77215" w:rsidRDefault="00B77215" w:rsidP="00E40A6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Sheila welcomed everyone’s effort and support with the project.</w:t>
            </w:r>
          </w:p>
          <w:p w14:paraId="61A117E9" w14:textId="7C1F42EC" w:rsidR="0040585B" w:rsidRDefault="0040585B" w:rsidP="00E40A60">
            <w:pPr>
              <w:rPr>
                <w:rFonts w:ascii="Arial" w:hAnsi="Arial" w:cs="Arial"/>
                <w:sz w:val="21"/>
                <w:szCs w:val="21"/>
              </w:rPr>
            </w:pPr>
          </w:p>
          <w:p w14:paraId="56574C8C" w14:textId="33D00A67" w:rsidR="0040585B" w:rsidRDefault="0040585B" w:rsidP="00E40A6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If Scottish Land Fund is not a route to fund the appraisal costs David will pursue other avenues and report to the board.</w:t>
            </w:r>
          </w:p>
          <w:p w14:paraId="43FA1449" w14:textId="37F721DD" w:rsidR="00C054FC" w:rsidRPr="0040585B" w:rsidRDefault="00C054FC" w:rsidP="0040585B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14:paraId="6BE9091C" w14:textId="5ED5C7F8" w:rsidR="00F15796" w:rsidRPr="00254970" w:rsidRDefault="00F15796" w:rsidP="008223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C112B" w:rsidRPr="004C112B" w14:paraId="66705008" w14:textId="77777777" w:rsidTr="00A85356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14:paraId="07841E98" w14:textId="77777777" w:rsidR="004C112B" w:rsidRPr="004C112B" w:rsidRDefault="004C112B" w:rsidP="00E40A6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1" w:name="_Hlk83759472"/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(9)</w:t>
            </w: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14:paraId="72965A3F" w14:textId="176B43CC" w:rsidR="004C112B" w:rsidRPr="004C112B" w:rsidRDefault="004C112B" w:rsidP="00E40A6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Covid-19</w:t>
            </w:r>
            <w:r w:rsidR="0040585B">
              <w:rPr>
                <w:rFonts w:ascii="Arial" w:hAnsi="Arial" w:cs="Arial"/>
                <w:b/>
                <w:bCs/>
                <w:sz w:val="21"/>
                <w:szCs w:val="21"/>
              </w:rPr>
              <w:t>survey/appraisal costs</w:t>
            </w:r>
          </w:p>
        </w:tc>
        <w:tc>
          <w:tcPr>
            <w:tcW w:w="1128" w:type="dxa"/>
            <w:tcBorders>
              <w:top w:val="single" w:sz="4" w:space="0" w:color="auto"/>
              <w:bottom w:val="nil"/>
            </w:tcBorders>
          </w:tcPr>
          <w:p w14:paraId="0D112976" w14:textId="77777777" w:rsidR="004C112B" w:rsidRPr="004C112B" w:rsidRDefault="004C112B" w:rsidP="00E40A6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4C112B" w:rsidRPr="004C112B" w14:paraId="3A1F5C83" w14:textId="77777777" w:rsidTr="00A8535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7DBB3DA3" w14:textId="77777777" w:rsidR="004C112B" w:rsidRPr="004C112B" w:rsidRDefault="004C112B" w:rsidP="00E40A6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1338844A" w14:textId="320A4DDA" w:rsidR="004C112B" w:rsidRPr="004C112B" w:rsidRDefault="004C112B" w:rsidP="00E40A60">
            <w:pPr>
              <w:rPr>
                <w:rFonts w:ascii="Arial" w:hAnsi="Arial" w:cs="Arial"/>
                <w:sz w:val="21"/>
                <w:szCs w:val="21"/>
              </w:rPr>
            </w:pPr>
            <w:r w:rsidRPr="004C112B">
              <w:rPr>
                <w:rFonts w:ascii="Arial" w:hAnsi="Arial" w:cs="Arial"/>
                <w:sz w:val="21"/>
                <w:szCs w:val="21"/>
              </w:rPr>
              <w:t xml:space="preserve">Scottish Government Resilience funding of £2,000 not spent and has to be paid back </w:t>
            </w:r>
            <w:r w:rsidR="00C054FC">
              <w:rPr>
                <w:rFonts w:ascii="Arial" w:hAnsi="Arial" w:cs="Arial"/>
                <w:sz w:val="21"/>
                <w:szCs w:val="21"/>
              </w:rPr>
              <w:t>but</w:t>
            </w:r>
            <w:r w:rsidRPr="004C112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054FC">
              <w:rPr>
                <w:rFonts w:ascii="Arial" w:hAnsi="Arial" w:cs="Arial"/>
                <w:sz w:val="21"/>
                <w:szCs w:val="21"/>
              </w:rPr>
              <w:t xml:space="preserve">to date there has been no request received to action this. </w:t>
            </w:r>
          </w:p>
          <w:p w14:paraId="7A37B7E9" w14:textId="77777777" w:rsidR="004C112B" w:rsidRPr="004C112B" w:rsidRDefault="004C112B" w:rsidP="00E40A6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14:paraId="46976C37" w14:textId="77777777" w:rsidR="004C112B" w:rsidRPr="004C112B" w:rsidRDefault="004C112B" w:rsidP="00E40A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C112B">
              <w:rPr>
                <w:rFonts w:ascii="Arial" w:hAnsi="Arial" w:cs="Arial"/>
                <w:sz w:val="21"/>
                <w:szCs w:val="21"/>
              </w:rPr>
              <w:t>JC</w:t>
            </w:r>
          </w:p>
        </w:tc>
      </w:tr>
      <w:bookmarkEnd w:id="1"/>
      <w:tr w:rsidR="004C112B" w:rsidRPr="004C112B" w14:paraId="42C2D1F2" w14:textId="77777777" w:rsidTr="00A85356">
        <w:tc>
          <w:tcPr>
            <w:tcW w:w="704" w:type="dxa"/>
            <w:tcBorders>
              <w:bottom w:val="nil"/>
            </w:tcBorders>
          </w:tcPr>
          <w:p w14:paraId="602CE1F5" w14:textId="77777777" w:rsidR="004C112B" w:rsidRPr="004C112B" w:rsidRDefault="004C112B" w:rsidP="00E40A6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(10)</w:t>
            </w:r>
          </w:p>
        </w:tc>
        <w:tc>
          <w:tcPr>
            <w:tcW w:w="7796" w:type="dxa"/>
            <w:tcBorders>
              <w:bottom w:val="nil"/>
            </w:tcBorders>
          </w:tcPr>
          <w:p w14:paraId="34E56213" w14:textId="77777777" w:rsidR="004C112B" w:rsidRPr="004C112B" w:rsidRDefault="004C112B" w:rsidP="00E40A6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Investing in Communities</w:t>
            </w:r>
          </w:p>
        </w:tc>
        <w:tc>
          <w:tcPr>
            <w:tcW w:w="1128" w:type="dxa"/>
            <w:tcBorders>
              <w:bottom w:val="nil"/>
            </w:tcBorders>
          </w:tcPr>
          <w:p w14:paraId="5EF04639" w14:textId="77777777" w:rsidR="004C112B" w:rsidRPr="004C112B" w:rsidRDefault="004C112B" w:rsidP="00E40A6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4C112B" w:rsidRPr="004C112B" w14:paraId="224D995D" w14:textId="77777777" w:rsidTr="00A8535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46FD1791" w14:textId="77777777" w:rsidR="004C112B" w:rsidRPr="004C112B" w:rsidRDefault="004C112B" w:rsidP="00E40A6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3426FEE4" w14:textId="77777777" w:rsidR="004C112B" w:rsidRPr="00254970" w:rsidRDefault="006D0729" w:rsidP="00254970">
            <w:pPr>
              <w:rPr>
                <w:rFonts w:ascii="Arial" w:hAnsi="Arial" w:cs="Arial"/>
                <w:sz w:val="21"/>
                <w:szCs w:val="21"/>
              </w:rPr>
            </w:pPr>
            <w:r w:rsidRPr="00254970">
              <w:rPr>
                <w:rFonts w:ascii="Arial" w:hAnsi="Arial" w:cs="Arial"/>
                <w:sz w:val="21"/>
                <w:szCs w:val="21"/>
              </w:rPr>
              <w:t xml:space="preserve">Offer received from Scottish Government </w:t>
            </w:r>
            <w:r w:rsidR="0040585B" w:rsidRPr="00254970">
              <w:rPr>
                <w:rFonts w:ascii="Arial" w:hAnsi="Arial" w:cs="Arial"/>
                <w:sz w:val="21"/>
                <w:szCs w:val="21"/>
              </w:rPr>
              <w:t>covers Q1 to Q4 totalling £40,000.</w:t>
            </w:r>
            <w:r w:rsidR="00254970" w:rsidRPr="0025497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0585B" w:rsidRPr="00254970">
              <w:rPr>
                <w:rFonts w:ascii="Arial" w:hAnsi="Arial" w:cs="Arial"/>
                <w:sz w:val="21"/>
                <w:szCs w:val="21"/>
              </w:rPr>
              <w:t>We funded Q1 from an underspend in the previous year funding and our own funds.</w:t>
            </w:r>
            <w:r w:rsidR="00254970" w:rsidRPr="0025497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0585B" w:rsidRPr="00254970">
              <w:rPr>
                <w:rFonts w:ascii="Arial" w:hAnsi="Arial" w:cs="Arial"/>
                <w:sz w:val="21"/>
                <w:szCs w:val="21"/>
              </w:rPr>
              <w:t>DTAS Is now managing the fund and has agreed that we can claim Q1 if we make a case for the funding.</w:t>
            </w:r>
            <w:r w:rsidR="00254970" w:rsidRPr="0025497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0585B" w:rsidRPr="00254970">
              <w:rPr>
                <w:rFonts w:ascii="Arial" w:hAnsi="Arial" w:cs="Arial"/>
                <w:sz w:val="21"/>
                <w:szCs w:val="21"/>
              </w:rPr>
              <w:t>Jane will request that the money covers the shortfall in the funding from Crown Estates £6,000, plus additional funding to Tarbert Life and Emergency planning</w:t>
            </w:r>
            <w:r w:rsidR="00254970" w:rsidRPr="00254970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77A36B6" w14:textId="78D590F5" w:rsidR="00254970" w:rsidRPr="00254970" w:rsidRDefault="00254970" w:rsidP="002549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14:paraId="0691CC0C" w14:textId="77777777" w:rsidR="004C112B" w:rsidRPr="004C112B" w:rsidRDefault="004C112B" w:rsidP="00E40A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2FCEB39" w14:textId="79B5021C" w:rsidR="000E7BF4" w:rsidRDefault="000E7BF4" w:rsidP="00E40A60">
      <w:pPr>
        <w:rPr>
          <w:rFonts w:ascii="Arial" w:hAnsi="Arial" w:cs="Arial"/>
          <w:sz w:val="21"/>
          <w:szCs w:val="21"/>
        </w:rPr>
      </w:pPr>
    </w:p>
    <w:p w14:paraId="6F43A7B4" w14:textId="77777777" w:rsidR="00B77215" w:rsidRDefault="00B77215" w:rsidP="00E40A60">
      <w:pPr>
        <w:rPr>
          <w:rFonts w:ascii="Arial" w:hAnsi="Arial" w:cs="Arial"/>
          <w:sz w:val="21"/>
          <w:szCs w:val="21"/>
        </w:rPr>
        <w:sectPr w:rsidR="00B77215" w:rsidSect="004C112B">
          <w:pgSz w:w="11906" w:h="16838"/>
          <w:pgMar w:top="851" w:right="1134" w:bottom="567" w:left="113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796"/>
        <w:gridCol w:w="1128"/>
      </w:tblGrid>
      <w:tr w:rsidR="00B77215" w:rsidRPr="004C112B" w14:paraId="2E0C2A32" w14:textId="77777777" w:rsidTr="00C60A23">
        <w:trPr>
          <w:trHeight w:val="397"/>
        </w:trPr>
        <w:tc>
          <w:tcPr>
            <w:tcW w:w="8500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AEB8CA9" w14:textId="77777777" w:rsidR="00B77215" w:rsidRPr="004C112B" w:rsidRDefault="00B77215" w:rsidP="00C60A2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97FFCA6" w14:textId="77777777" w:rsidR="00B77215" w:rsidRPr="004C112B" w:rsidRDefault="00B77215" w:rsidP="00C60A2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Action</w:t>
            </w:r>
          </w:p>
        </w:tc>
      </w:tr>
      <w:tr w:rsidR="00B77215" w:rsidRPr="004C112B" w14:paraId="1469DBE0" w14:textId="77777777" w:rsidTr="00C60A23">
        <w:tc>
          <w:tcPr>
            <w:tcW w:w="704" w:type="dxa"/>
            <w:tcBorders>
              <w:bottom w:val="nil"/>
            </w:tcBorders>
          </w:tcPr>
          <w:p w14:paraId="369856E5" w14:textId="77777777" w:rsidR="00B77215" w:rsidRPr="004C112B" w:rsidRDefault="00B77215" w:rsidP="00C60A2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(11)</w:t>
            </w:r>
          </w:p>
        </w:tc>
        <w:tc>
          <w:tcPr>
            <w:tcW w:w="7796" w:type="dxa"/>
            <w:tcBorders>
              <w:bottom w:val="nil"/>
            </w:tcBorders>
          </w:tcPr>
          <w:p w14:paraId="0D4A667C" w14:textId="77777777" w:rsidR="00B77215" w:rsidRPr="004C112B" w:rsidRDefault="00B77215" w:rsidP="00C60A2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Skipness House/Shop</w:t>
            </w:r>
          </w:p>
        </w:tc>
        <w:tc>
          <w:tcPr>
            <w:tcW w:w="1128" w:type="dxa"/>
            <w:tcBorders>
              <w:bottom w:val="nil"/>
            </w:tcBorders>
          </w:tcPr>
          <w:p w14:paraId="7A4A6DF9" w14:textId="77777777" w:rsidR="00B77215" w:rsidRPr="004C112B" w:rsidRDefault="00B77215" w:rsidP="00C60A2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B77215" w:rsidRPr="004C112B" w14:paraId="420302EB" w14:textId="77777777" w:rsidTr="00C60A23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3C24E1F0" w14:textId="77777777" w:rsidR="00B77215" w:rsidRPr="004C112B" w:rsidRDefault="00B77215" w:rsidP="00C60A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6DFC8B8D" w14:textId="77777777" w:rsidR="00B77215" w:rsidRDefault="00B77215" w:rsidP="00C60A23">
            <w:pPr>
              <w:rPr>
                <w:rFonts w:ascii="Arial" w:hAnsi="Arial" w:cs="Arial"/>
                <w:sz w:val="21"/>
                <w:szCs w:val="21"/>
              </w:rPr>
            </w:pPr>
            <w:r w:rsidRPr="004C112B">
              <w:rPr>
                <w:rFonts w:ascii="Arial" w:hAnsi="Arial" w:cs="Arial"/>
                <w:sz w:val="21"/>
                <w:szCs w:val="21"/>
              </w:rPr>
              <w:t>Bill</w:t>
            </w:r>
            <w:r>
              <w:rPr>
                <w:rFonts w:ascii="Arial" w:hAnsi="Arial" w:cs="Arial"/>
                <w:sz w:val="21"/>
                <w:szCs w:val="21"/>
              </w:rPr>
              <w:t xml:space="preserve"> hasn’t been able to progress as much as he’d hoped however he has received a lot of information re a buy-out situation on Jura. Hopes to move things forward over the coming weeks. Asked about Trust’s Articles of Association which can be made available to him as and when required.</w:t>
            </w:r>
          </w:p>
          <w:p w14:paraId="0C82987C" w14:textId="77777777" w:rsidR="00B77215" w:rsidRPr="004C112B" w:rsidRDefault="00B77215" w:rsidP="00C60A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14:paraId="0920950E" w14:textId="77777777" w:rsidR="00B77215" w:rsidRPr="004C112B" w:rsidRDefault="00B77215" w:rsidP="00C60A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215" w:rsidRPr="004C112B" w14:paraId="0D5CF56D" w14:textId="77777777" w:rsidTr="00C60A23">
        <w:tc>
          <w:tcPr>
            <w:tcW w:w="704" w:type="dxa"/>
            <w:tcBorders>
              <w:bottom w:val="nil"/>
            </w:tcBorders>
          </w:tcPr>
          <w:p w14:paraId="0893BA21" w14:textId="77777777" w:rsidR="00B77215" w:rsidRPr="004C112B" w:rsidRDefault="00B77215" w:rsidP="00C60A2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(12)</w:t>
            </w:r>
          </w:p>
        </w:tc>
        <w:tc>
          <w:tcPr>
            <w:tcW w:w="7796" w:type="dxa"/>
            <w:tcBorders>
              <w:bottom w:val="nil"/>
            </w:tcBorders>
          </w:tcPr>
          <w:p w14:paraId="265845C7" w14:textId="77777777" w:rsidR="00B77215" w:rsidRPr="004C112B" w:rsidRDefault="00B77215" w:rsidP="00C60A2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White Shore Path, Bike Stands and Picnic Table</w:t>
            </w:r>
          </w:p>
        </w:tc>
        <w:tc>
          <w:tcPr>
            <w:tcW w:w="1128" w:type="dxa"/>
            <w:tcBorders>
              <w:bottom w:val="nil"/>
            </w:tcBorders>
          </w:tcPr>
          <w:p w14:paraId="2379A934" w14:textId="77777777" w:rsidR="00B77215" w:rsidRPr="004C112B" w:rsidRDefault="00B77215" w:rsidP="00C60A2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B77215" w:rsidRPr="004C112B" w14:paraId="7C839765" w14:textId="77777777" w:rsidTr="00C60A23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42401FA7" w14:textId="77777777" w:rsidR="00B77215" w:rsidRPr="004C112B" w:rsidRDefault="00B77215" w:rsidP="00C60A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310B2754" w14:textId="77777777" w:rsidR="00B77215" w:rsidRPr="004C112B" w:rsidRDefault="00B77215" w:rsidP="00C60A23">
            <w:pPr>
              <w:rPr>
                <w:rFonts w:ascii="Arial" w:hAnsi="Arial" w:cs="Arial"/>
                <w:sz w:val="21"/>
                <w:szCs w:val="21"/>
              </w:rPr>
            </w:pPr>
          </w:p>
          <w:p w14:paraId="13F09D4E" w14:textId="77777777" w:rsidR="00B77215" w:rsidRPr="004C112B" w:rsidRDefault="00B77215" w:rsidP="00C60A2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67" w:hanging="283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White Shore Path</w:t>
            </w:r>
          </w:p>
          <w:p w14:paraId="7A63F594" w14:textId="27D33077" w:rsidR="001D09EA" w:rsidRPr="001D09EA" w:rsidRDefault="001D09EA" w:rsidP="00C60A23">
            <w:pPr>
              <w:pStyle w:val="ListParagraph"/>
              <w:spacing w:after="0" w:line="240" w:lineRule="auto"/>
              <w:ind w:left="467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</w:rPr>
              <w:t>Work on the White Shore Path is progressing and 25m of board walk has now been completed</w:t>
            </w:r>
          </w:p>
          <w:p w14:paraId="590081A6" w14:textId="77777777" w:rsidR="00B77215" w:rsidRPr="004C112B" w:rsidRDefault="00B77215" w:rsidP="00C60A23">
            <w:pPr>
              <w:rPr>
                <w:rFonts w:ascii="Arial" w:hAnsi="Arial" w:cs="Arial"/>
                <w:sz w:val="21"/>
                <w:szCs w:val="21"/>
              </w:rPr>
            </w:pPr>
          </w:p>
          <w:p w14:paraId="037AA097" w14:textId="6C071219" w:rsidR="00B77215" w:rsidRDefault="00B77215" w:rsidP="00C60A2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67" w:hanging="283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Bike Stand, and Picnic Table</w:t>
            </w:r>
          </w:p>
          <w:p w14:paraId="126F67D2" w14:textId="3142F20F" w:rsidR="00B77215" w:rsidRPr="001D09EA" w:rsidRDefault="001D09EA" w:rsidP="001D09EA">
            <w:pPr>
              <w:pStyle w:val="ListParagraph"/>
              <w:spacing w:after="0" w:line="240" w:lineRule="auto"/>
              <w:ind w:left="4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James confirmed that Duncan MacGregor had hoped to start 01/09/2021 but has had to deal with problems elsewhere and will start work next week </w:t>
            </w:r>
            <w:r w:rsidR="00B77215" w:rsidRPr="001D09EA">
              <w:rPr>
                <w:rFonts w:ascii="Arial" w:hAnsi="Arial" w:cs="Arial"/>
                <w:sz w:val="21"/>
                <w:szCs w:val="21"/>
              </w:rPr>
              <w:t>Spacing for parking bays still an issue. Argyll and Bute Council have confirmed 6.0m bays as opposed to 5.5m. Layout still being decided through negotiations with Harbour Board and Council.</w:t>
            </w:r>
          </w:p>
          <w:p w14:paraId="56EEA826" w14:textId="77777777" w:rsidR="00B77215" w:rsidRPr="00F23930" w:rsidRDefault="00B77215" w:rsidP="00C60A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14:paraId="1CB590E0" w14:textId="77777777" w:rsidR="00B77215" w:rsidRPr="004C112B" w:rsidRDefault="00B77215" w:rsidP="00C60A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215" w:rsidRPr="004C112B" w14:paraId="12412539" w14:textId="77777777" w:rsidTr="00C60A23">
        <w:tc>
          <w:tcPr>
            <w:tcW w:w="704" w:type="dxa"/>
            <w:tcBorders>
              <w:bottom w:val="nil"/>
            </w:tcBorders>
          </w:tcPr>
          <w:p w14:paraId="5F53FC78" w14:textId="77777777" w:rsidR="00B77215" w:rsidRPr="004C112B" w:rsidRDefault="00B77215" w:rsidP="00C60A2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2" w:name="_Hlk83760346"/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(13)</w:t>
            </w:r>
          </w:p>
        </w:tc>
        <w:tc>
          <w:tcPr>
            <w:tcW w:w="7796" w:type="dxa"/>
            <w:tcBorders>
              <w:bottom w:val="nil"/>
            </w:tcBorders>
          </w:tcPr>
          <w:p w14:paraId="34096E52" w14:textId="77777777" w:rsidR="00B77215" w:rsidRPr="004C112B" w:rsidRDefault="00B77215" w:rsidP="00C60A2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Tarbert &amp; Skipness Renewables</w:t>
            </w:r>
          </w:p>
        </w:tc>
        <w:tc>
          <w:tcPr>
            <w:tcW w:w="1128" w:type="dxa"/>
            <w:tcBorders>
              <w:bottom w:val="nil"/>
            </w:tcBorders>
          </w:tcPr>
          <w:p w14:paraId="68DA1AC0" w14:textId="77777777" w:rsidR="00B77215" w:rsidRPr="004C112B" w:rsidRDefault="00B77215" w:rsidP="00C60A2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B77215" w:rsidRPr="004C112B" w14:paraId="70CE9B5B" w14:textId="77777777" w:rsidTr="00C60A23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683DBDA4" w14:textId="77777777" w:rsidR="00B77215" w:rsidRPr="004C112B" w:rsidRDefault="00B77215" w:rsidP="00C60A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23A136CA" w14:textId="72ADB0CA" w:rsidR="00B77215" w:rsidRPr="004C112B" w:rsidRDefault="00B77215" w:rsidP="00C60A23">
            <w:pPr>
              <w:rPr>
                <w:rFonts w:ascii="Arial" w:hAnsi="Arial" w:cs="Arial"/>
                <w:sz w:val="21"/>
                <w:szCs w:val="21"/>
              </w:rPr>
            </w:pPr>
            <w:r w:rsidRPr="004C112B">
              <w:rPr>
                <w:rFonts w:ascii="Arial" w:hAnsi="Arial" w:cs="Arial"/>
                <w:sz w:val="21"/>
                <w:szCs w:val="21"/>
              </w:rPr>
              <w:t>No update.</w:t>
            </w:r>
            <w:r>
              <w:rPr>
                <w:rFonts w:ascii="Arial" w:hAnsi="Arial" w:cs="Arial"/>
                <w:sz w:val="21"/>
                <w:szCs w:val="21"/>
              </w:rPr>
              <w:t xml:space="preserve">  Meeting in September might confirm this year’s dividend. Jane</w:t>
            </w:r>
            <w:r w:rsidR="00165E4A">
              <w:rPr>
                <w:rFonts w:ascii="Arial" w:hAnsi="Arial" w:cs="Arial"/>
                <w:sz w:val="21"/>
                <w:szCs w:val="21"/>
              </w:rPr>
              <w:t xml:space="preserve"> to </w:t>
            </w:r>
            <w:r>
              <w:rPr>
                <w:rFonts w:ascii="Arial" w:hAnsi="Arial" w:cs="Arial"/>
                <w:sz w:val="21"/>
                <w:szCs w:val="21"/>
              </w:rPr>
              <w:t>contact Bob Chicken/John Hardie.</w:t>
            </w:r>
          </w:p>
          <w:p w14:paraId="7ABFA0AC" w14:textId="77777777" w:rsidR="00B77215" w:rsidRPr="004C112B" w:rsidRDefault="00B77215" w:rsidP="00C60A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14:paraId="2483D6A7" w14:textId="77777777" w:rsidR="00B77215" w:rsidRPr="004C112B" w:rsidRDefault="00B77215" w:rsidP="00C60A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JC</w:t>
            </w:r>
          </w:p>
        </w:tc>
      </w:tr>
      <w:bookmarkEnd w:id="2"/>
      <w:tr w:rsidR="00B77215" w:rsidRPr="004C112B" w14:paraId="05A6AF56" w14:textId="77777777" w:rsidTr="00C60A23">
        <w:tc>
          <w:tcPr>
            <w:tcW w:w="704" w:type="dxa"/>
            <w:tcBorders>
              <w:bottom w:val="nil"/>
            </w:tcBorders>
          </w:tcPr>
          <w:p w14:paraId="412AF855" w14:textId="77777777" w:rsidR="00B77215" w:rsidRPr="004C112B" w:rsidRDefault="00B77215" w:rsidP="00C60A2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(14)</w:t>
            </w:r>
          </w:p>
        </w:tc>
        <w:tc>
          <w:tcPr>
            <w:tcW w:w="7796" w:type="dxa"/>
            <w:tcBorders>
              <w:bottom w:val="nil"/>
            </w:tcBorders>
          </w:tcPr>
          <w:p w14:paraId="28859B8A" w14:textId="77777777" w:rsidR="00B77215" w:rsidRPr="004C112B" w:rsidRDefault="00B77215" w:rsidP="00C60A2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Financial Report</w:t>
            </w:r>
          </w:p>
        </w:tc>
        <w:tc>
          <w:tcPr>
            <w:tcW w:w="1128" w:type="dxa"/>
            <w:tcBorders>
              <w:bottom w:val="nil"/>
            </w:tcBorders>
          </w:tcPr>
          <w:p w14:paraId="28ACBBA0" w14:textId="77777777" w:rsidR="00B77215" w:rsidRPr="004C112B" w:rsidRDefault="00B77215" w:rsidP="00C60A2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B77215" w:rsidRPr="004C112B" w14:paraId="32255E30" w14:textId="77777777" w:rsidTr="00C60A23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66A13149" w14:textId="77777777" w:rsidR="00B77215" w:rsidRPr="004C112B" w:rsidRDefault="00B77215" w:rsidP="00C60A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50EC9C74" w14:textId="77777777" w:rsidR="00B77215" w:rsidRPr="004C112B" w:rsidRDefault="00B77215" w:rsidP="00C60A23">
            <w:pPr>
              <w:rPr>
                <w:rFonts w:ascii="Arial" w:hAnsi="Arial" w:cs="Arial"/>
                <w:sz w:val="21"/>
                <w:szCs w:val="21"/>
              </w:rPr>
            </w:pPr>
            <w:r w:rsidRPr="004C112B">
              <w:rPr>
                <w:rFonts w:ascii="Arial" w:hAnsi="Arial" w:cs="Arial"/>
                <w:sz w:val="21"/>
                <w:szCs w:val="21"/>
              </w:rPr>
              <w:t>Accepted</w:t>
            </w:r>
          </w:p>
          <w:p w14:paraId="203AED4D" w14:textId="77777777" w:rsidR="00B77215" w:rsidRPr="004C112B" w:rsidRDefault="00B77215" w:rsidP="00C60A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14:paraId="0FAE70AD" w14:textId="77777777" w:rsidR="00B77215" w:rsidRPr="004C112B" w:rsidRDefault="00B77215" w:rsidP="00C60A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215" w:rsidRPr="004C112B" w14:paraId="5A37EACC" w14:textId="77777777" w:rsidTr="00C60A23">
        <w:tc>
          <w:tcPr>
            <w:tcW w:w="704" w:type="dxa"/>
            <w:tcBorders>
              <w:bottom w:val="nil"/>
            </w:tcBorders>
          </w:tcPr>
          <w:p w14:paraId="5E9B19E6" w14:textId="77777777" w:rsidR="00B77215" w:rsidRPr="004C112B" w:rsidRDefault="00B77215" w:rsidP="00C60A2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3" w:name="_Hlk83761021"/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(1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7796" w:type="dxa"/>
            <w:tcBorders>
              <w:bottom w:val="nil"/>
            </w:tcBorders>
          </w:tcPr>
          <w:p w14:paraId="7F3D6AD0" w14:textId="77777777" w:rsidR="00B77215" w:rsidRPr="004C112B" w:rsidRDefault="00B77215" w:rsidP="00C60A2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AOCB</w:t>
            </w:r>
          </w:p>
        </w:tc>
        <w:tc>
          <w:tcPr>
            <w:tcW w:w="1128" w:type="dxa"/>
            <w:tcBorders>
              <w:bottom w:val="nil"/>
            </w:tcBorders>
          </w:tcPr>
          <w:p w14:paraId="72379ABB" w14:textId="77777777" w:rsidR="00B77215" w:rsidRPr="004C112B" w:rsidRDefault="00B77215" w:rsidP="00C60A2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B77215" w:rsidRPr="004C112B" w14:paraId="202F6AEB" w14:textId="77777777" w:rsidTr="00C60A23">
        <w:tc>
          <w:tcPr>
            <w:tcW w:w="704" w:type="dxa"/>
            <w:tcBorders>
              <w:top w:val="nil"/>
            </w:tcBorders>
          </w:tcPr>
          <w:p w14:paraId="2E377F7C" w14:textId="77777777" w:rsidR="00B77215" w:rsidRPr="004C112B" w:rsidRDefault="00B77215" w:rsidP="00C60A23">
            <w:pPr>
              <w:rPr>
                <w:rFonts w:ascii="Arial" w:hAnsi="Arial" w:cs="Arial"/>
                <w:sz w:val="21"/>
                <w:szCs w:val="21"/>
              </w:rPr>
            </w:pPr>
            <w:bookmarkStart w:id="4" w:name="_Hlk83761005"/>
          </w:p>
        </w:tc>
        <w:tc>
          <w:tcPr>
            <w:tcW w:w="7796" w:type="dxa"/>
            <w:tcBorders>
              <w:top w:val="nil"/>
            </w:tcBorders>
          </w:tcPr>
          <w:p w14:paraId="222276B0" w14:textId="77777777" w:rsidR="00B77215" w:rsidRDefault="00B77215" w:rsidP="00C60A23">
            <w:pPr>
              <w:rPr>
                <w:rFonts w:ascii="Arial" w:hAnsi="Arial" w:cs="Arial"/>
                <w:sz w:val="21"/>
                <w:szCs w:val="21"/>
              </w:rPr>
            </w:pPr>
          </w:p>
          <w:p w14:paraId="1F301216" w14:textId="77777777" w:rsidR="00B77215" w:rsidRPr="00F23930" w:rsidRDefault="00B77215" w:rsidP="00C60A2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67" w:hanging="283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23930">
              <w:rPr>
                <w:rFonts w:ascii="Arial" w:hAnsi="Arial" w:cs="Arial"/>
                <w:b/>
                <w:bCs/>
                <w:sz w:val="21"/>
                <w:szCs w:val="21"/>
              </w:rPr>
              <w:t>Publicity</w:t>
            </w:r>
          </w:p>
          <w:p w14:paraId="7DDC5F12" w14:textId="51E779EE" w:rsidR="001D09EA" w:rsidRDefault="00B77215" w:rsidP="001D09EA">
            <w:pPr>
              <w:pStyle w:val="ListParagraph"/>
              <w:spacing w:after="0" w:line="240" w:lineRule="auto"/>
              <w:ind w:left="4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Sheila confirmed Alistair should remain as main contact/link with Pure West Media. Sheila asked for </w:t>
            </w:r>
            <w:r w:rsidRPr="00254970">
              <w:rPr>
                <w:rFonts w:ascii="Arial" w:hAnsi="Arial" w:cs="Arial"/>
                <w:sz w:val="21"/>
                <w:szCs w:val="21"/>
              </w:rPr>
              <w:t xml:space="preserve">Community Benefit report to be added to </w:t>
            </w:r>
            <w:r w:rsidR="001D09EA" w:rsidRPr="00254970">
              <w:rPr>
                <w:rFonts w:ascii="Arial" w:hAnsi="Arial" w:cs="Arial"/>
                <w:sz w:val="21"/>
                <w:szCs w:val="21"/>
              </w:rPr>
              <w:t xml:space="preserve">Tarbert Life </w:t>
            </w:r>
            <w:r w:rsidRPr="00254970">
              <w:rPr>
                <w:rFonts w:ascii="Arial" w:hAnsi="Arial" w:cs="Arial"/>
                <w:sz w:val="21"/>
                <w:szCs w:val="21"/>
              </w:rPr>
              <w:t>website and Alistair confirmed</w:t>
            </w:r>
            <w:r>
              <w:rPr>
                <w:rFonts w:ascii="Arial" w:hAnsi="Arial" w:cs="Arial"/>
                <w:sz w:val="21"/>
                <w:szCs w:val="21"/>
              </w:rPr>
              <w:t xml:space="preserve"> that this had been delayed due to rework of posting and that he will follow up.</w:t>
            </w:r>
          </w:p>
          <w:p w14:paraId="383D77A7" w14:textId="2924137E" w:rsidR="001D09EA" w:rsidRDefault="001D09EA" w:rsidP="001D09EA">
            <w:pPr>
              <w:pStyle w:val="ListParagraph"/>
              <w:spacing w:after="0" w:line="240" w:lineRule="auto"/>
              <w:ind w:left="467"/>
              <w:rPr>
                <w:rFonts w:ascii="Arial" w:hAnsi="Arial" w:cs="Arial"/>
                <w:sz w:val="21"/>
                <w:szCs w:val="21"/>
              </w:rPr>
            </w:pPr>
          </w:p>
          <w:p w14:paraId="680C89BC" w14:textId="74111216" w:rsidR="001D09EA" w:rsidRPr="00254970" w:rsidRDefault="001D09EA" w:rsidP="00254970">
            <w:pPr>
              <w:pStyle w:val="ListParagraph"/>
              <w:numPr>
                <w:ilvl w:val="0"/>
                <w:numId w:val="10"/>
              </w:numPr>
              <w:ind w:left="467" w:hanging="283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54970">
              <w:rPr>
                <w:rFonts w:ascii="Arial" w:hAnsi="Arial" w:cs="Arial"/>
                <w:b/>
                <w:bCs/>
                <w:sz w:val="21"/>
                <w:szCs w:val="21"/>
              </w:rPr>
              <w:t>CARES Funding</w:t>
            </w:r>
          </w:p>
          <w:p w14:paraId="41146953" w14:textId="63080AE0" w:rsidR="001D09EA" w:rsidRPr="001D09EA" w:rsidRDefault="001D09EA" w:rsidP="001D09EA">
            <w:pPr>
              <w:pStyle w:val="ListParagraph"/>
              <w:spacing w:after="0" w:line="240" w:lineRule="auto"/>
              <w:ind w:left="467"/>
              <w:rPr>
                <w:rFonts w:ascii="Arial" w:hAnsi="Arial" w:cs="Arial"/>
                <w:sz w:val="21"/>
                <w:szCs w:val="21"/>
              </w:rPr>
            </w:pPr>
            <w:r w:rsidRPr="00254970">
              <w:rPr>
                <w:rFonts w:ascii="Arial" w:hAnsi="Arial" w:cs="Arial"/>
                <w:sz w:val="21"/>
                <w:szCs w:val="21"/>
              </w:rPr>
              <w:t>CARES funding is available to community buildings to become more energy efficient.</w:t>
            </w:r>
            <w:r w:rsidR="0025497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54970">
              <w:rPr>
                <w:rFonts w:ascii="Arial" w:hAnsi="Arial" w:cs="Arial"/>
                <w:sz w:val="21"/>
                <w:szCs w:val="21"/>
              </w:rPr>
              <w:t>It is a complicated process. James said he would get information from a hall on Arran that has recently done this.</w:t>
            </w:r>
          </w:p>
          <w:p w14:paraId="403E3F6C" w14:textId="38482D94" w:rsidR="00B77215" w:rsidRPr="001D09EA" w:rsidRDefault="00B77215" w:rsidP="001D09EA">
            <w:pPr>
              <w:rPr>
                <w:rFonts w:ascii="Arial" w:hAnsi="Arial" w:cs="Arial"/>
                <w:sz w:val="21"/>
                <w:szCs w:val="21"/>
              </w:rPr>
            </w:pPr>
          </w:p>
          <w:p w14:paraId="2F13DEE3" w14:textId="77777777" w:rsidR="00B77215" w:rsidRPr="000E7BF4" w:rsidRDefault="00B77215" w:rsidP="00C60A2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67" w:hanging="283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E7BF4">
              <w:rPr>
                <w:rFonts w:ascii="Arial" w:hAnsi="Arial" w:cs="Arial"/>
                <w:b/>
                <w:bCs/>
                <w:sz w:val="21"/>
                <w:szCs w:val="21"/>
              </w:rPr>
              <w:t>Articles of Association</w:t>
            </w:r>
          </w:p>
          <w:p w14:paraId="285A7D56" w14:textId="52AC6FC3" w:rsidR="00B77215" w:rsidRDefault="00B77215" w:rsidP="00C60A23">
            <w:pPr>
              <w:pStyle w:val="ListParagraph"/>
              <w:spacing w:after="0" w:line="240" w:lineRule="auto"/>
              <w:ind w:left="4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Jane thanked John for all his work on finalising the Trust’s Articles of Association.</w:t>
            </w:r>
          </w:p>
          <w:p w14:paraId="3C48727E" w14:textId="425D1FC5" w:rsidR="00B77215" w:rsidRDefault="00B77215" w:rsidP="00C60A23">
            <w:pPr>
              <w:pStyle w:val="ListParagraph"/>
              <w:spacing w:after="0" w:line="240" w:lineRule="auto"/>
              <w:ind w:left="467"/>
              <w:rPr>
                <w:rFonts w:ascii="Arial" w:hAnsi="Arial" w:cs="Arial"/>
                <w:sz w:val="21"/>
                <w:szCs w:val="21"/>
              </w:rPr>
            </w:pPr>
          </w:p>
          <w:p w14:paraId="3F658F13" w14:textId="77777777" w:rsidR="00B77215" w:rsidRPr="00E40A60" w:rsidRDefault="00B77215" w:rsidP="00B7721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67" w:hanging="283"/>
              <w:rPr>
                <w:rFonts w:ascii="Arial" w:hAnsi="Arial" w:cs="Arial"/>
                <w:sz w:val="21"/>
                <w:szCs w:val="21"/>
              </w:rPr>
            </w:pPr>
            <w:r w:rsidRPr="00E40A60">
              <w:rPr>
                <w:rFonts w:ascii="Arial" w:hAnsi="Arial" w:cs="Arial"/>
                <w:b/>
                <w:bCs/>
                <w:sz w:val="21"/>
                <w:szCs w:val="21"/>
              </w:rPr>
              <w:t>Public Meeting – October</w:t>
            </w:r>
          </w:p>
          <w:p w14:paraId="362EA1B2" w14:textId="591C9F1E" w:rsidR="00B77215" w:rsidRPr="00E40A60" w:rsidRDefault="00726F49" w:rsidP="00B77215">
            <w:pPr>
              <w:pStyle w:val="ListParagraph"/>
              <w:spacing w:after="0" w:line="240" w:lineRule="auto"/>
              <w:ind w:left="4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Public meeting in October – date to be reviewed due to rising </w:t>
            </w:r>
            <w:r w:rsidR="00B77215">
              <w:rPr>
                <w:rFonts w:ascii="Arial" w:hAnsi="Arial" w:cs="Arial"/>
                <w:sz w:val="21"/>
                <w:szCs w:val="21"/>
              </w:rPr>
              <w:t>C</w:t>
            </w:r>
            <w:r w:rsidR="00B77215" w:rsidRPr="00E40A60">
              <w:rPr>
                <w:rFonts w:ascii="Arial" w:hAnsi="Arial" w:cs="Arial"/>
                <w:sz w:val="21"/>
                <w:szCs w:val="21"/>
              </w:rPr>
              <w:t>ovid numbers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="00B77215">
              <w:rPr>
                <w:rFonts w:ascii="Arial" w:hAnsi="Arial" w:cs="Arial"/>
                <w:sz w:val="21"/>
                <w:szCs w:val="21"/>
              </w:rPr>
              <w:t xml:space="preserve"> Decision to postpone public meeting to be taken </w:t>
            </w:r>
            <w:r>
              <w:rPr>
                <w:rFonts w:ascii="Arial" w:hAnsi="Arial" w:cs="Arial"/>
                <w:sz w:val="21"/>
                <w:szCs w:val="21"/>
              </w:rPr>
              <w:t>within 10 days</w:t>
            </w:r>
            <w:r w:rsidR="0082237D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B77215">
              <w:rPr>
                <w:rFonts w:ascii="Arial" w:hAnsi="Arial" w:cs="Arial"/>
                <w:sz w:val="21"/>
                <w:szCs w:val="21"/>
              </w:rPr>
              <w:t xml:space="preserve">Charles to forward </w:t>
            </w:r>
            <w:r>
              <w:rPr>
                <w:rFonts w:ascii="Arial" w:hAnsi="Arial" w:cs="Arial"/>
                <w:sz w:val="21"/>
                <w:szCs w:val="21"/>
              </w:rPr>
              <w:t>PowerPoint</w:t>
            </w:r>
            <w:r w:rsidR="00B77215">
              <w:rPr>
                <w:rFonts w:ascii="Arial" w:hAnsi="Arial" w:cs="Arial"/>
                <w:sz w:val="21"/>
                <w:szCs w:val="21"/>
              </w:rPr>
              <w:t xml:space="preserve"> presentation to Lorna</w:t>
            </w:r>
            <w:r>
              <w:rPr>
                <w:rFonts w:ascii="Arial" w:hAnsi="Arial" w:cs="Arial"/>
                <w:sz w:val="21"/>
                <w:szCs w:val="21"/>
              </w:rPr>
              <w:t xml:space="preserve"> to jazz up.</w:t>
            </w:r>
          </w:p>
          <w:p w14:paraId="32872209" w14:textId="77777777" w:rsidR="00B77215" w:rsidRPr="004C112B" w:rsidRDefault="00B77215" w:rsidP="00C60A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14:paraId="05318C4A" w14:textId="77777777" w:rsidR="00B77215" w:rsidRDefault="00B77215" w:rsidP="00C60A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8DF9E44" w14:textId="77777777" w:rsidR="00B77215" w:rsidRDefault="00B77215" w:rsidP="00C60A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50DFDE9" w14:textId="77777777" w:rsidR="00B77215" w:rsidRDefault="00B77215" w:rsidP="00C60A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AW</w:t>
            </w:r>
          </w:p>
          <w:p w14:paraId="142D7F01" w14:textId="77777777" w:rsidR="00B77215" w:rsidRDefault="00B77215" w:rsidP="00C60A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572C253" w14:textId="77777777" w:rsidR="00B77215" w:rsidRDefault="00B77215" w:rsidP="00C60A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F25C021" w14:textId="77777777" w:rsidR="00B77215" w:rsidRDefault="00B77215" w:rsidP="00C60A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B3F9245" w14:textId="77777777" w:rsidR="00B77215" w:rsidRDefault="00B77215" w:rsidP="00C60A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A189270" w14:textId="77777777" w:rsidR="00B77215" w:rsidRDefault="00B77215" w:rsidP="00C60A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2F57A0F" w14:textId="77777777" w:rsidR="00B77215" w:rsidRDefault="00B77215" w:rsidP="00C60A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44EE292" w14:textId="77777777" w:rsidR="00B77215" w:rsidRDefault="00B77215" w:rsidP="00C60A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6F8BE09" w14:textId="77777777" w:rsidR="00B77215" w:rsidRDefault="00B77215" w:rsidP="00C60A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C8C5FC1" w14:textId="77777777" w:rsidR="00B77215" w:rsidRDefault="00B77215" w:rsidP="00C60A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AD0007C" w14:textId="77777777" w:rsidR="00B77215" w:rsidRDefault="00B77215" w:rsidP="00C60A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C3B17C6" w14:textId="77777777" w:rsidR="00B77215" w:rsidRDefault="00B77215" w:rsidP="00C60A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0808BDD" w14:textId="77777777" w:rsidR="00B77215" w:rsidRDefault="00B77215" w:rsidP="00C60A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8D13577" w14:textId="77777777" w:rsidR="00B77215" w:rsidRDefault="00B77215" w:rsidP="00C60A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32A5F51" w14:textId="77777777" w:rsidR="00B77215" w:rsidRPr="00254970" w:rsidRDefault="00B77215" w:rsidP="00C60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C77710" w14:textId="77CD5BF8" w:rsidR="00E970BB" w:rsidRPr="004C112B" w:rsidRDefault="00E970BB" w:rsidP="00C60A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JC/CR</w:t>
            </w:r>
          </w:p>
        </w:tc>
      </w:tr>
      <w:bookmarkEnd w:id="3"/>
      <w:bookmarkEnd w:id="4"/>
    </w:tbl>
    <w:p w14:paraId="551B40C9" w14:textId="11914659" w:rsidR="00E40A60" w:rsidRDefault="00E40A60" w:rsidP="00E40A60">
      <w:pPr>
        <w:rPr>
          <w:rFonts w:ascii="Arial" w:hAnsi="Arial" w:cs="Arial"/>
          <w:sz w:val="21"/>
          <w:szCs w:val="21"/>
        </w:rPr>
      </w:pPr>
    </w:p>
    <w:p w14:paraId="1F850691" w14:textId="77777777" w:rsidR="004C112B" w:rsidRPr="004C112B" w:rsidRDefault="004C112B" w:rsidP="00E40A60">
      <w:pPr>
        <w:rPr>
          <w:rFonts w:ascii="Arial" w:hAnsi="Arial" w:cs="Arial"/>
          <w:b/>
          <w:bCs/>
          <w:sz w:val="21"/>
          <w:szCs w:val="21"/>
        </w:rPr>
      </w:pPr>
      <w:r w:rsidRPr="004C112B">
        <w:rPr>
          <w:rFonts w:ascii="Arial" w:hAnsi="Arial" w:cs="Arial"/>
          <w:b/>
          <w:bCs/>
          <w:sz w:val="21"/>
          <w:szCs w:val="21"/>
        </w:rPr>
        <w:t>Date of Next Meeting</w:t>
      </w:r>
    </w:p>
    <w:p w14:paraId="4D59BE3E" w14:textId="54130826" w:rsidR="004C112B" w:rsidRPr="004C112B" w:rsidRDefault="004C112B" w:rsidP="00E40A60">
      <w:pPr>
        <w:rPr>
          <w:rFonts w:ascii="Arial" w:hAnsi="Arial" w:cs="Arial"/>
          <w:sz w:val="21"/>
          <w:szCs w:val="21"/>
        </w:rPr>
      </w:pPr>
      <w:r w:rsidRPr="004C112B">
        <w:rPr>
          <w:rFonts w:ascii="Arial" w:hAnsi="Arial" w:cs="Arial"/>
          <w:sz w:val="21"/>
          <w:szCs w:val="21"/>
        </w:rPr>
        <w:t xml:space="preserve">Wednesday </w:t>
      </w:r>
      <w:r w:rsidR="000E7BF4">
        <w:rPr>
          <w:rFonts w:ascii="Arial" w:hAnsi="Arial" w:cs="Arial"/>
          <w:sz w:val="21"/>
          <w:szCs w:val="21"/>
        </w:rPr>
        <w:t>6</w:t>
      </w:r>
      <w:r w:rsidR="000E7BF4" w:rsidRPr="000E7BF4">
        <w:rPr>
          <w:rFonts w:ascii="Arial" w:hAnsi="Arial" w:cs="Arial"/>
          <w:sz w:val="21"/>
          <w:szCs w:val="21"/>
          <w:vertAlign w:val="superscript"/>
        </w:rPr>
        <w:t>th</w:t>
      </w:r>
      <w:r w:rsidR="000E7BF4">
        <w:rPr>
          <w:rFonts w:ascii="Arial" w:hAnsi="Arial" w:cs="Arial"/>
          <w:sz w:val="21"/>
          <w:szCs w:val="21"/>
        </w:rPr>
        <w:t xml:space="preserve"> October </w:t>
      </w:r>
      <w:r w:rsidRPr="004C112B">
        <w:rPr>
          <w:rFonts w:ascii="Arial" w:hAnsi="Arial" w:cs="Arial"/>
          <w:sz w:val="21"/>
          <w:szCs w:val="21"/>
        </w:rPr>
        <w:t>at 6:30 p.m.</w:t>
      </w:r>
    </w:p>
    <w:p w14:paraId="342E4143" w14:textId="4AECC0E4" w:rsidR="002A6145" w:rsidRPr="004C112B" w:rsidRDefault="000E7BF4" w:rsidP="00E40A6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Covid numbers permitting, meeting t</w:t>
      </w:r>
      <w:r w:rsidR="002A6145" w:rsidRPr="004C112B">
        <w:rPr>
          <w:rFonts w:ascii="Arial" w:hAnsi="Arial" w:cs="Arial"/>
          <w:sz w:val="21"/>
          <w:szCs w:val="21"/>
        </w:rPr>
        <w:t>o be held in the village hall – will be confirmed in due course.</w:t>
      </w:r>
    </w:p>
    <w:p w14:paraId="6D8A6B5F" w14:textId="77777777" w:rsidR="002A6145" w:rsidRPr="004C112B" w:rsidRDefault="002A6145" w:rsidP="00E40A60">
      <w:pPr>
        <w:rPr>
          <w:rFonts w:ascii="Arial" w:hAnsi="Arial" w:cs="Arial"/>
          <w:sz w:val="21"/>
          <w:szCs w:val="21"/>
        </w:rPr>
      </w:pPr>
    </w:p>
    <w:p w14:paraId="60D1659D" w14:textId="77777777" w:rsidR="004C112B" w:rsidRPr="004C112B" w:rsidRDefault="004C112B" w:rsidP="00E40A60">
      <w:pPr>
        <w:rPr>
          <w:rFonts w:ascii="Arial" w:hAnsi="Arial" w:cs="Arial"/>
          <w:sz w:val="21"/>
          <w:szCs w:val="21"/>
        </w:rPr>
      </w:pPr>
    </w:p>
    <w:sectPr w:rsidR="004C112B" w:rsidRPr="004C112B" w:rsidSect="004C112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204"/>
    <w:multiLevelType w:val="hybridMultilevel"/>
    <w:tmpl w:val="07327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A6235"/>
    <w:multiLevelType w:val="hybridMultilevel"/>
    <w:tmpl w:val="B804F7B2"/>
    <w:lvl w:ilvl="0" w:tplc="DB18B0D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0BE58D7"/>
    <w:multiLevelType w:val="hybridMultilevel"/>
    <w:tmpl w:val="174E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35D8A"/>
    <w:multiLevelType w:val="hybridMultilevel"/>
    <w:tmpl w:val="6F9AF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65BF8"/>
    <w:multiLevelType w:val="hybridMultilevel"/>
    <w:tmpl w:val="F1C00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A18BD"/>
    <w:multiLevelType w:val="hybridMultilevel"/>
    <w:tmpl w:val="8A14BE40"/>
    <w:lvl w:ilvl="0" w:tplc="EDE066A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2763B"/>
    <w:multiLevelType w:val="hybridMultilevel"/>
    <w:tmpl w:val="A1B4FE52"/>
    <w:lvl w:ilvl="0" w:tplc="554CDE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54381"/>
    <w:multiLevelType w:val="hybridMultilevel"/>
    <w:tmpl w:val="B804F7B2"/>
    <w:lvl w:ilvl="0" w:tplc="DB18B0D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44A3D9E"/>
    <w:multiLevelType w:val="hybridMultilevel"/>
    <w:tmpl w:val="08226236"/>
    <w:lvl w:ilvl="0" w:tplc="F656E4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F6870"/>
    <w:multiLevelType w:val="hybridMultilevel"/>
    <w:tmpl w:val="4E0EC3B8"/>
    <w:lvl w:ilvl="0" w:tplc="3C88B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87A22"/>
    <w:multiLevelType w:val="hybridMultilevel"/>
    <w:tmpl w:val="63B46FFC"/>
    <w:lvl w:ilvl="0" w:tplc="7938F7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84586"/>
    <w:multiLevelType w:val="hybridMultilevel"/>
    <w:tmpl w:val="F346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12"/>
    <w:rsid w:val="000002A3"/>
    <w:rsid w:val="00003935"/>
    <w:rsid w:val="000119DA"/>
    <w:rsid w:val="000578EA"/>
    <w:rsid w:val="000609C5"/>
    <w:rsid w:val="00082D5F"/>
    <w:rsid w:val="00085D21"/>
    <w:rsid w:val="000E0A3A"/>
    <w:rsid w:val="000E7BF4"/>
    <w:rsid w:val="000F2012"/>
    <w:rsid w:val="000F6EFC"/>
    <w:rsid w:val="001124F1"/>
    <w:rsid w:val="001554D2"/>
    <w:rsid w:val="00165E4A"/>
    <w:rsid w:val="001A1960"/>
    <w:rsid w:val="001C0F8B"/>
    <w:rsid w:val="001D09EA"/>
    <w:rsid w:val="001D3020"/>
    <w:rsid w:val="001E746F"/>
    <w:rsid w:val="002104C5"/>
    <w:rsid w:val="00233AE9"/>
    <w:rsid w:val="00243E1E"/>
    <w:rsid w:val="00254970"/>
    <w:rsid w:val="0025508E"/>
    <w:rsid w:val="002618DB"/>
    <w:rsid w:val="002A5AE0"/>
    <w:rsid w:val="002A6145"/>
    <w:rsid w:val="002A7CEB"/>
    <w:rsid w:val="002C2442"/>
    <w:rsid w:val="002C3A44"/>
    <w:rsid w:val="002E24B5"/>
    <w:rsid w:val="002F2064"/>
    <w:rsid w:val="002F38E4"/>
    <w:rsid w:val="00323820"/>
    <w:rsid w:val="00331DF2"/>
    <w:rsid w:val="00332616"/>
    <w:rsid w:val="00366EED"/>
    <w:rsid w:val="0039048A"/>
    <w:rsid w:val="00395373"/>
    <w:rsid w:val="003B28FE"/>
    <w:rsid w:val="003D001D"/>
    <w:rsid w:val="003F1C50"/>
    <w:rsid w:val="003F4213"/>
    <w:rsid w:val="003F7D34"/>
    <w:rsid w:val="0040515C"/>
    <w:rsid w:val="0040585B"/>
    <w:rsid w:val="00447346"/>
    <w:rsid w:val="00452A4D"/>
    <w:rsid w:val="004556F6"/>
    <w:rsid w:val="004A41E4"/>
    <w:rsid w:val="004B0D01"/>
    <w:rsid w:val="004B4233"/>
    <w:rsid w:val="004C112B"/>
    <w:rsid w:val="004C1B54"/>
    <w:rsid w:val="004C2BDD"/>
    <w:rsid w:val="00503984"/>
    <w:rsid w:val="005116A0"/>
    <w:rsid w:val="005927C4"/>
    <w:rsid w:val="005A1FE9"/>
    <w:rsid w:val="005D1557"/>
    <w:rsid w:val="005E59C4"/>
    <w:rsid w:val="005F7610"/>
    <w:rsid w:val="00625FD2"/>
    <w:rsid w:val="00666559"/>
    <w:rsid w:val="006862CE"/>
    <w:rsid w:val="00690652"/>
    <w:rsid w:val="00692B81"/>
    <w:rsid w:val="006B3DBE"/>
    <w:rsid w:val="006B4B12"/>
    <w:rsid w:val="006D0729"/>
    <w:rsid w:val="006F1C93"/>
    <w:rsid w:val="006F38D9"/>
    <w:rsid w:val="00701624"/>
    <w:rsid w:val="00712278"/>
    <w:rsid w:val="00726F49"/>
    <w:rsid w:val="0082237D"/>
    <w:rsid w:val="00824BD9"/>
    <w:rsid w:val="008413A7"/>
    <w:rsid w:val="008502F7"/>
    <w:rsid w:val="008737D7"/>
    <w:rsid w:val="008C59C8"/>
    <w:rsid w:val="008D7E35"/>
    <w:rsid w:val="009538FD"/>
    <w:rsid w:val="009652EC"/>
    <w:rsid w:val="00990582"/>
    <w:rsid w:val="009E4E84"/>
    <w:rsid w:val="009E7CC2"/>
    <w:rsid w:val="009F516E"/>
    <w:rsid w:val="00A021CF"/>
    <w:rsid w:val="00A110EA"/>
    <w:rsid w:val="00A11B14"/>
    <w:rsid w:val="00A17A7D"/>
    <w:rsid w:val="00A51119"/>
    <w:rsid w:val="00A51160"/>
    <w:rsid w:val="00A54EDF"/>
    <w:rsid w:val="00A56E47"/>
    <w:rsid w:val="00B51127"/>
    <w:rsid w:val="00B52221"/>
    <w:rsid w:val="00B534D1"/>
    <w:rsid w:val="00B55BF0"/>
    <w:rsid w:val="00B6493B"/>
    <w:rsid w:val="00B77215"/>
    <w:rsid w:val="00BA2ADE"/>
    <w:rsid w:val="00BC27B7"/>
    <w:rsid w:val="00C0344E"/>
    <w:rsid w:val="00C054FC"/>
    <w:rsid w:val="00C079DC"/>
    <w:rsid w:val="00C14087"/>
    <w:rsid w:val="00C14254"/>
    <w:rsid w:val="00C5500C"/>
    <w:rsid w:val="00C82F4C"/>
    <w:rsid w:val="00CB701B"/>
    <w:rsid w:val="00CC1964"/>
    <w:rsid w:val="00CC1FE3"/>
    <w:rsid w:val="00CC2771"/>
    <w:rsid w:val="00CD2314"/>
    <w:rsid w:val="00D00276"/>
    <w:rsid w:val="00D07C7E"/>
    <w:rsid w:val="00D10617"/>
    <w:rsid w:val="00D21338"/>
    <w:rsid w:val="00D33991"/>
    <w:rsid w:val="00D66D1B"/>
    <w:rsid w:val="00D87BB5"/>
    <w:rsid w:val="00DB0F84"/>
    <w:rsid w:val="00DB52ED"/>
    <w:rsid w:val="00DE50B8"/>
    <w:rsid w:val="00DE60DC"/>
    <w:rsid w:val="00DF5624"/>
    <w:rsid w:val="00DF6289"/>
    <w:rsid w:val="00E40A60"/>
    <w:rsid w:val="00E4780C"/>
    <w:rsid w:val="00E66CB8"/>
    <w:rsid w:val="00E70EE7"/>
    <w:rsid w:val="00E857F7"/>
    <w:rsid w:val="00E970BB"/>
    <w:rsid w:val="00EB2419"/>
    <w:rsid w:val="00EC4C3D"/>
    <w:rsid w:val="00F00770"/>
    <w:rsid w:val="00F14DBF"/>
    <w:rsid w:val="00F15796"/>
    <w:rsid w:val="00F23930"/>
    <w:rsid w:val="00F43DFE"/>
    <w:rsid w:val="00F441F2"/>
    <w:rsid w:val="00F6466F"/>
    <w:rsid w:val="00FC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DF801"/>
  <w15:chartTrackingRefBased/>
  <w15:docId w15:val="{31E0625D-57B0-4D31-988B-6582F021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012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DB5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B3773-0206-40F5-B37E-5E9E25D6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Gillies</dc:creator>
  <cp:keywords/>
  <dc:description/>
  <cp:lastModifiedBy>Jane</cp:lastModifiedBy>
  <cp:revision>2</cp:revision>
  <cp:lastPrinted>2021-10-06T09:27:00Z</cp:lastPrinted>
  <dcterms:created xsi:type="dcterms:W3CDTF">2021-10-06T09:27:00Z</dcterms:created>
  <dcterms:modified xsi:type="dcterms:W3CDTF">2021-10-06T09:27:00Z</dcterms:modified>
</cp:coreProperties>
</file>