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AF0271" w14:paraId="6FCD8111" w14:textId="77777777" w:rsidTr="00AD3C2A">
        <w:tc>
          <w:tcPr>
            <w:tcW w:w="14596" w:type="dxa"/>
          </w:tcPr>
          <w:p w14:paraId="27E0A2AD" w14:textId="16C080AE" w:rsidR="00AF0271" w:rsidRPr="0044178A" w:rsidRDefault="00E643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Benefit Report - 20</w:t>
            </w:r>
            <w:r w:rsidR="004D04D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F0271" w14:paraId="7C999192" w14:textId="77777777" w:rsidTr="00AD3C2A">
        <w:tc>
          <w:tcPr>
            <w:tcW w:w="14596" w:type="dxa"/>
          </w:tcPr>
          <w:p w14:paraId="39DD5F30" w14:textId="77777777" w:rsidR="00AF0271" w:rsidRDefault="00AF0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271" w14:paraId="68B5F9AC" w14:textId="77777777" w:rsidTr="00AD3C2A">
        <w:tc>
          <w:tcPr>
            <w:tcW w:w="14596" w:type="dxa"/>
          </w:tcPr>
          <w:p w14:paraId="2A7285C7" w14:textId="634AD222" w:rsidR="001D2243" w:rsidRDefault="00286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Despite the restrictions due to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19 pandemic</w:t>
            </w:r>
            <w:r w:rsidR="001D2243">
              <w:rPr>
                <w:rFonts w:ascii="Arial" w:hAnsi="Arial" w:cs="Arial"/>
                <w:sz w:val="24"/>
                <w:szCs w:val="24"/>
              </w:rPr>
              <w:t xml:space="preserve"> Tarbert and Skipness Community Trust were </w:t>
            </w:r>
            <w:r>
              <w:rPr>
                <w:rFonts w:ascii="Arial" w:hAnsi="Arial" w:cs="Arial"/>
                <w:sz w:val="24"/>
                <w:szCs w:val="24"/>
              </w:rPr>
              <w:t xml:space="preserve">again </w:t>
            </w:r>
            <w:r w:rsidR="001D2243">
              <w:rPr>
                <w:rFonts w:ascii="Arial" w:hAnsi="Arial" w:cs="Arial"/>
                <w:sz w:val="24"/>
                <w:szCs w:val="24"/>
              </w:rPr>
              <w:t xml:space="preserve">delighted </w:t>
            </w:r>
            <w:r>
              <w:rPr>
                <w:rFonts w:ascii="Arial" w:hAnsi="Arial" w:cs="Arial"/>
                <w:sz w:val="24"/>
                <w:szCs w:val="24"/>
              </w:rPr>
              <w:t xml:space="preserve">to receive </w:t>
            </w:r>
            <w:r w:rsidR="00DA1E89">
              <w:rPr>
                <w:rFonts w:ascii="Arial" w:hAnsi="Arial" w:cs="Arial"/>
                <w:sz w:val="24"/>
                <w:szCs w:val="24"/>
              </w:rPr>
              <w:t>a great response to the advert for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applications for grant funding</w:t>
            </w:r>
          </w:p>
          <w:p w14:paraId="5F8E6059" w14:textId="77777777" w:rsidR="00DA1E89" w:rsidRDefault="00DA1E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6EB69" w14:textId="360CCA51" w:rsidR="00DA1E89" w:rsidRDefault="001D2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1E89">
              <w:rPr>
                <w:rFonts w:ascii="Arial" w:hAnsi="Arial" w:cs="Arial"/>
                <w:sz w:val="24"/>
                <w:szCs w:val="24"/>
              </w:rPr>
              <w:t>6</w:t>
            </w:r>
            <w:r w:rsidR="008112E5">
              <w:rPr>
                <w:rFonts w:ascii="Arial" w:hAnsi="Arial" w:cs="Arial"/>
                <w:sz w:val="24"/>
                <w:szCs w:val="24"/>
              </w:rPr>
              <w:t xml:space="preserve"> applications were received </w:t>
            </w:r>
            <w:r w:rsidR="00DA1E89">
              <w:rPr>
                <w:rFonts w:ascii="Arial" w:hAnsi="Arial" w:cs="Arial"/>
                <w:sz w:val="24"/>
                <w:szCs w:val="24"/>
              </w:rPr>
              <w:t xml:space="preserve">in total </w:t>
            </w:r>
            <w:r w:rsidR="008112E5">
              <w:rPr>
                <w:rFonts w:ascii="Arial" w:hAnsi="Arial" w:cs="Arial"/>
                <w:sz w:val="24"/>
                <w:szCs w:val="24"/>
              </w:rPr>
              <w:t xml:space="preserve">from local groups for assistance with projects </w:t>
            </w:r>
            <w:r w:rsidR="00DA1E89">
              <w:rPr>
                <w:rFonts w:ascii="Arial" w:hAnsi="Arial" w:cs="Arial"/>
                <w:sz w:val="24"/>
                <w:szCs w:val="24"/>
              </w:rPr>
              <w:t>such as interpretation and visitor experience for visitors to Tarbert Castle,</w:t>
            </w:r>
            <w:r w:rsidR="00A17050">
              <w:rPr>
                <w:rFonts w:ascii="Arial" w:hAnsi="Arial" w:cs="Arial"/>
                <w:sz w:val="24"/>
                <w:szCs w:val="24"/>
              </w:rPr>
              <w:t xml:space="preserve"> on-line classes for Feis an Tairbeirt, equipment for hosting soccer tournament for young children and a </w:t>
            </w:r>
            <w:proofErr w:type="spellStart"/>
            <w:r w:rsidR="00A17050">
              <w:rPr>
                <w:rFonts w:ascii="Arial" w:hAnsi="Arial" w:cs="Arial"/>
                <w:sz w:val="24"/>
                <w:szCs w:val="24"/>
              </w:rPr>
              <w:t>portaloo</w:t>
            </w:r>
            <w:proofErr w:type="spellEnd"/>
            <w:r w:rsidR="00A17050">
              <w:rPr>
                <w:rFonts w:ascii="Arial" w:hAnsi="Arial" w:cs="Arial"/>
                <w:sz w:val="24"/>
                <w:szCs w:val="24"/>
              </w:rPr>
              <w:t xml:space="preserve"> for the local Gun Club.</w:t>
            </w:r>
          </w:p>
          <w:p w14:paraId="3681DFAE" w14:textId="77777777" w:rsidR="001D2243" w:rsidRDefault="001D22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EF106" w14:textId="3FA501D2" w:rsidR="00AF0271" w:rsidRDefault="001D2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8112E5">
              <w:rPr>
                <w:rFonts w:ascii="Arial" w:hAnsi="Arial" w:cs="Arial"/>
                <w:sz w:val="24"/>
                <w:szCs w:val="24"/>
              </w:rPr>
              <w:t xml:space="preserve">applications were successful, being </w:t>
            </w:r>
            <w:r w:rsidR="00AF0271">
              <w:rPr>
                <w:rFonts w:ascii="Arial" w:hAnsi="Arial" w:cs="Arial"/>
                <w:sz w:val="24"/>
                <w:szCs w:val="24"/>
              </w:rPr>
              <w:t>awarded sums of money ranging from £30</w:t>
            </w:r>
            <w:r w:rsidR="00E47273">
              <w:rPr>
                <w:rFonts w:ascii="Arial" w:hAnsi="Arial" w:cs="Arial"/>
                <w:sz w:val="24"/>
                <w:szCs w:val="24"/>
              </w:rPr>
              <w:t>0 to £</w:t>
            </w:r>
            <w:r w:rsidR="00A17050">
              <w:rPr>
                <w:rFonts w:ascii="Arial" w:hAnsi="Arial" w:cs="Arial"/>
                <w:sz w:val="24"/>
                <w:szCs w:val="24"/>
              </w:rPr>
              <w:t>3500</w:t>
            </w:r>
            <w:r w:rsidR="00E47273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007FF3">
              <w:rPr>
                <w:rFonts w:ascii="Arial" w:hAnsi="Arial" w:cs="Arial"/>
                <w:sz w:val="24"/>
                <w:szCs w:val="24"/>
              </w:rPr>
              <w:t>a</w:t>
            </w:r>
            <w:r w:rsidR="008112E5">
              <w:rPr>
                <w:rFonts w:ascii="Arial" w:hAnsi="Arial" w:cs="Arial"/>
                <w:sz w:val="24"/>
                <w:szCs w:val="24"/>
              </w:rPr>
              <w:t xml:space="preserve"> total amount of money </w:t>
            </w:r>
            <w:r w:rsidR="00E47273">
              <w:rPr>
                <w:rFonts w:ascii="Arial" w:hAnsi="Arial" w:cs="Arial"/>
                <w:sz w:val="24"/>
                <w:szCs w:val="24"/>
              </w:rPr>
              <w:t xml:space="preserve">being </w:t>
            </w:r>
            <w:r w:rsidR="008112E5">
              <w:rPr>
                <w:rFonts w:ascii="Arial" w:hAnsi="Arial" w:cs="Arial"/>
                <w:sz w:val="24"/>
                <w:szCs w:val="24"/>
              </w:rPr>
              <w:t xml:space="preserve">awarded </w:t>
            </w:r>
            <w:r w:rsidR="00007FF3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8112E5">
              <w:rPr>
                <w:rFonts w:ascii="Arial" w:hAnsi="Arial" w:cs="Arial"/>
                <w:sz w:val="24"/>
                <w:szCs w:val="24"/>
              </w:rPr>
              <w:t>£</w:t>
            </w:r>
            <w:r w:rsidR="00A17050">
              <w:rPr>
                <w:rFonts w:ascii="Arial" w:hAnsi="Arial" w:cs="Arial"/>
                <w:sz w:val="24"/>
                <w:szCs w:val="24"/>
              </w:rPr>
              <w:t>28870</w:t>
            </w:r>
            <w:r w:rsidR="00007F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2152B6" w14:textId="77777777" w:rsidR="00A40090" w:rsidRDefault="00A40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F00A8" w14:textId="77777777" w:rsidR="008F4C5E" w:rsidRPr="008F4C5E" w:rsidRDefault="008F4C5E" w:rsidP="008F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details of those groups taking up the offer of funding from the Trust are attached.</w:t>
            </w:r>
          </w:p>
          <w:p w14:paraId="1079267E" w14:textId="77777777" w:rsidR="005B70F6" w:rsidRPr="005B70F6" w:rsidRDefault="005B70F6" w:rsidP="005B70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C67430" w14:textId="77777777" w:rsidR="00DA3669" w:rsidRDefault="005B70F6" w:rsidP="005B70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Trust have </w:t>
            </w:r>
            <w:r w:rsidR="00DA3669">
              <w:rPr>
                <w:rFonts w:ascii="Arial" w:hAnsi="Arial" w:cs="Arial"/>
                <w:sz w:val="24"/>
                <w:szCs w:val="24"/>
              </w:rPr>
              <w:t xml:space="preserve">again </w:t>
            </w:r>
            <w:r>
              <w:rPr>
                <w:rFonts w:ascii="Arial" w:hAnsi="Arial" w:cs="Arial"/>
                <w:sz w:val="24"/>
                <w:szCs w:val="24"/>
              </w:rPr>
              <w:t>been delighted with the number and quality of the applications</w:t>
            </w:r>
            <w:r w:rsidR="00F526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year from groups </w:t>
            </w:r>
            <w:r w:rsidR="00DA3669">
              <w:rPr>
                <w:rFonts w:ascii="Arial" w:hAnsi="Arial" w:cs="Arial"/>
                <w:sz w:val="24"/>
                <w:szCs w:val="24"/>
              </w:rPr>
              <w:t>which showcase the work which goes on within the area that is helping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enhance and strengthen the community</w:t>
            </w:r>
            <w:r w:rsidR="00DA3669">
              <w:rPr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6402B1" w14:textId="77777777" w:rsidR="005B70F6" w:rsidRPr="005B70F6" w:rsidRDefault="008F4C5E" w:rsidP="005B70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information relating to the grant application process can be found </w:t>
            </w:r>
            <w:r w:rsidR="005B70F6" w:rsidRPr="005B70F6">
              <w:rPr>
                <w:rFonts w:ascii="Arial" w:hAnsi="Arial" w:cs="Arial"/>
                <w:sz w:val="24"/>
                <w:szCs w:val="24"/>
              </w:rPr>
              <w:t xml:space="preserve">on the Trusts website at </w:t>
            </w:r>
            <w:r w:rsidR="005B70F6" w:rsidRPr="005B70F6"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  <w:t>http://tsct.org.uk/</w:t>
            </w:r>
          </w:p>
          <w:p w14:paraId="31C8356A" w14:textId="77777777" w:rsidR="00E47273" w:rsidRDefault="00E47273" w:rsidP="008F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83758" w14:textId="77777777" w:rsidR="008523CB" w:rsidRDefault="008523CB">
      <w:r>
        <w:br w:type="page"/>
      </w:r>
    </w:p>
    <w:tbl>
      <w:tblPr>
        <w:tblStyle w:val="TableGrid"/>
        <w:tblW w:w="14548" w:type="dxa"/>
        <w:tblLook w:val="04A0" w:firstRow="1" w:lastRow="0" w:firstColumn="1" w:lastColumn="0" w:noHBand="0" w:noVBand="1"/>
      </w:tblPr>
      <w:tblGrid>
        <w:gridCol w:w="483"/>
        <w:gridCol w:w="4332"/>
        <w:gridCol w:w="7654"/>
        <w:gridCol w:w="1701"/>
        <w:gridCol w:w="378"/>
      </w:tblGrid>
      <w:tr w:rsidR="008523CB" w:rsidRPr="00D71AD8" w14:paraId="3FB54E5E" w14:textId="77777777" w:rsidTr="00592D28">
        <w:tc>
          <w:tcPr>
            <w:tcW w:w="483" w:type="dxa"/>
          </w:tcPr>
          <w:p w14:paraId="0FAFE81D" w14:textId="77777777" w:rsidR="008523CB" w:rsidRPr="00D71AD8" w:rsidRDefault="008523CB" w:rsidP="0059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32" w:type="dxa"/>
          </w:tcPr>
          <w:p w14:paraId="6A685C67" w14:textId="77777777" w:rsidR="008523CB" w:rsidRPr="00D71AD8" w:rsidRDefault="008523CB" w:rsidP="00060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AD8">
              <w:rPr>
                <w:rFonts w:ascii="Arial" w:hAnsi="Arial" w:cs="Arial"/>
                <w:b/>
                <w:sz w:val="28"/>
                <w:szCs w:val="28"/>
              </w:rPr>
              <w:t>Group</w:t>
            </w:r>
          </w:p>
        </w:tc>
        <w:tc>
          <w:tcPr>
            <w:tcW w:w="7654" w:type="dxa"/>
          </w:tcPr>
          <w:p w14:paraId="40ADBA47" w14:textId="77777777" w:rsidR="008523CB" w:rsidRPr="00D71AD8" w:rsidRDefault="008523CB" w:rsidP="00060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AD8">
              <w:rPr>
                <w:rFonts w:ascii="Arial" w:hAnsi="Arial" w:cs="Arial"/>
                <w:b/>
                <w:sz w:val="28"/>
                <w:szCs w:val="28"/>
              </w:rPr>
              <w:t>Project</w:t>
            </w:r>
          </w:p>
        </w:tc>
        <w:tc>
          <w:tcPr>
            <w:tcW w:w="2079" w:type="dxa"/>
            <w:gridSpan w:val="2"/>
          </w:tcPr>
          <w:p w14:paraId="63D00DFB" w14:textId="77777777" w:rsidR="008523CB" w:rsidRPr="00D71AD8" w:rsidRDefault="008523CB" w:rsidP="00060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AD8">
              <w:rPr>
                <w:rFonts w:ascii="Arial" w:hAnsi="Arial" w:cs="Arial"/>
                <w:b/>
                <w:sz w:val="28"/>
                <w:szCs w:val="28"/>
              </w:rPr>
              <w:t>Amount (£)</w:t>
            </w:r>
          </w:p>
        </w:tc>
      </w:tr>
      <w:tr w:rsidR="006C3F70" w14:paraId="0E7B9764" w14:textId="77777777" w:rsidTr="00592D28">
        <w:tc>
          <w:tcPr>
            <w:tcW w:w="483" w:type="dxa"/>
          </w:tcPr>
          <w:p w14:paraId="298C537A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14:paraId="076B354F" w14:textId="38B673C8" w:rsidR="006C3F70" w:rsidRDefault="004A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Castle Trust</w:t>
            </w:r>
          </w:p>
        </w:tc>
        <w:tc>
          <w:tcPr>
            <w:tcW w:w="7654" w:type="dxa"/>
          </w:tcPr>
          <w:p w14:paraId="36E8BDD7" w14:textId="5847433D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Interpretation and visitor experience improvements</w:t>
            </w:r>
          </w:p>
        </w:tc>
        <w:tc>
          <w:tcPr>
            <w:tcW w:w="1701" w:type="dxa"/>
          </w:tcPr>
          <w:p w14:paraId="19C7A60B" w14:textId="744D2EBD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2570</w:t>
            </w:r>
          </w:p>
        </w:tc>
        <w:tc>
          <w:tcPr>
            <w:tcW w:w="378" w:type="dxa"/>
          </w:tcPr>
          <w:p w14:paraId="1B39ABAC" w14:textId="73FE044A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69471506" w14:textId="77777777" w:rsidTr="00592D28">
        <w:tc>
          <w:tcPr>
            <w:tcW w:w="483" w:type="dxa"/>
          </w:tcPr>
          <w:p w14:paraId="366B89C1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14:paraId="56909451" w14:textId="40523B7C" w:rsidR="006C3F70" w:rsidRDefault="004A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Loch Fyne Pipe Band</w:t>
            </w:r>
          </w:p>
        </w:tc>
        <w:tc>
          <w:tcPr>
            <w:tcW w:w="7654" w:type="dxa"/>
          </w:tcPr>
          <w:p w14:paraId="0396D427" w14:textId="3BE67D3C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of uniform and equipment</w:t>
            </w:r>
          </w:p>
        </w:tc>
        <w:tc>
          <w:tcPr>
            <w:tcW w:w="1701" w:type="dxa"/>
          </w:tcPr>
          <w:p w14:paraId="4C557EC9" w14:textId="4E4211DF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378" w:type="dxa"/>
          </w:tcPr>
          <w:p w14:paraId="06EDBBB7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22C45AAF" w14:textId="77777777" w:rsidTr="00592D28">
        <w:tc>
          <w:tcPr>
            <w:tcW w:w="483" w:type="dxa"/>
          </w:tcPr>
          <w:p w14:paraId="66FE7433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32" w:type="dxa"/>
          </w:tcPr>
          <w:p w14:paraId="4ABCAD61" w14:textId="4B32AFD6" w:rsidR="006C3F70" w:rsidRDefault="004A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After School Care</w:t>
            </w:r>
          </w:p>
        </w:tc>
        <w:tc>
          <w:tcPr>
            <w:tcW w:w="7654" w:type="dxa"/>
          </w:tcPr>
          <w:p w14:paraId="43544ECF" w14:textId="396FEB3C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shelter</w:t>
            </w:r>
          </w:p>
        </w:tc>
        <w:tc>
          <w:tcPr>
            <w:tcW w:w="1701" w:type="dxa"/>
          </w:tcPr>
          <w:p w14:paraId="14603C9C" w14:textId="3C5C8689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</w:t>
            </w:r>
          </w:p>
        </w:tc>
        <w:tc>
          <w:tcPr>
            <w:tcW w:w="378" w:type="dxa"/>
          </w:tcPr>
          <w:p w14:paraId="4B01E53E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2E6D394C" w14:textId="77777777" w:rsidTr="00592D28">
        <w:tc>
          <w:tcPr>
            <w:tcW w:w="483" w:type="dxa"/>
          </w:tcPr>
          <w:p w14:paraId="61D7B946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32" w:type="dxa"/>
          </w:tcPr>
          <w:p w14:paraId="2BEB9A22" w14:textId="4A9B8D96" w:rsidR="006C3F70" w:rsidRDefault="004A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Gun Club</w:t>
            </w:r>
          </w:p>
        </w:tc>
        <w:tc>
          <w:tcPr>
            <w:tcW w:w="7654" w:type="dxa"/>
          </w:tcPr>
          <w:p w14:paraId="0884CCD1" w14:textId="74E87B4E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Portaloo</w:t>
            </w:r>
          </w:p>
        </w:tc>
        <w:tc>
          <w:tcPr>
            <w:tcW w:w="1701" w:type="dxa"/>
          </w:tcPr>
          <w:p w14:paraId="69B225D2" w14:textId="67E04872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8" w:type="dxa"/>
          </w:tcPr>
          <w:p w14:paraId="7261D675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6678A446" w14:textId="77777777" w:rsidTr="00592D28">
        <w:tc>
          <w:tcPr>
            <w:tcW w:w="483" w:type="dxa"/>
          </w:tcPr>
          <w:p w14:paraId="2F3BD694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32" w:type="dxa"/>
          </w:tcPr>
          <w:p w14:paraId="25A3A78F" w14:textId="4EC62E53" w:rsidR="006C3F70" w:rsidRDefault="004A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Guides, Brownies &amp; Rainbows</w:t>
            </w:r>
          </w:p>
        </w:tc>
        <w:tc>
          <w:tcPr>
            <w:tcW w:w="7654" w:type="dxa"/>
          </w:tcPr>
          <w:p w14:paraId="125FF0D8" w14:textId="5DF173CE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help make more accessible and inclusive for all girls post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1701" w:type="dxa"/>
          </w:tcPr>
          <w:p w14:paraId="05A7446C" w14:textId="6DF5E505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378" w:type="dxa"/>
          </w:tcPr>
          <w:p w14:paraId="7CF88E51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6C" w14:paraId="0BC792C4" w14:textId="77777777" w:rsidTr="00592D28">
        <w:tc>
          <w:tcPr>
            <w:tcW w:w="483" w:type="dxa"/>
          </w:tcPr>
          <w:p w14:paraId="3D42EC2B" w14:textId="77777777" w:rsidR="00B66A6C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32" w:type="dxa"/>
          </w:tcPr>
          <w:p w14:paraId="4B6B0630" w14:textId="674015E9" w:rsidR="00B66A6C" w:rsidRDefault="004A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Golf Club</w:t>
            </w:r>
          </w:p>
        </w:tc>
        <w:tc>
          <w:tcPr>
            <w:tcW w:w="7654" w:type="dxa"/>
          </w:tcPr>
          <w:p w14:paraId="63D92DBC" w14:textId="0C0C3514" w:rsidR="00B66A6C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maintenance</w:t>
            </w:r>
          </w:p>
        </w:tc>
        <w:tc>
          <w:tcPr>
            <w:tcW w:w="1701" w:type="dxa"/>
          </w:tcPr>
          <w:p w14:paraId="1DBC7E62" w14:textId="56E5325E" w:rsidR="00B66A6C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378" w:type="dxa"/>
          </w:tcPr>
          <w:p w14:paraId="63493D75" w14:textId="77777777" w:rsidR="00B66A6C" w:rsidRDefault="00B66A6C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4FB66F90" w14:textId="77777777" w:rsidTr="00592D28">
        <w:tc>
          <w:tcPr>
            <w:tcW w:w="483" w:type="dxa"/>
          </w:tcPr>
          <w:p w14:paraId="025613D7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32" w:type="dxa"/>
          </w:tcPr>
          <w:p w14:paraId="3B43E025" w14:textId="5E36DC99" w:rsidR="006C3F70" w:rsidRDefault="004A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Feis an Tairbeirt</w:t>
            </w:r>
          </w:p>
        </w:tc>
        <w:tc>
          <w:tcPr>
            <w:tcW w:w="7654" w:type="dxa"/>
          </w:tcPr>
          <w:p w14:paraId="35FAB865" w14:textId="2E996D1E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enable delivery of on-line classes</w:t>
            </w:r>
          </w:p>
        </w:tc>
        <w:tc>
          <w:tcPr>
            <w:tcW w:w="1701" w:type="dxa"/>
          </w:tcPr>
          <w:p w14:paraId="6E80DA13" w14:textId="63DE341F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2080</w:t>
            </w:r>
          </w:p>
        </w:tc>
        <w:tc>
          <w:tcPr>
            <w:tcW w:w="378" w:type="dxa"/>
          </w:tcPr>
          <w:p w14:paraId="603AED82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06859B00" w14:textId="77777777" w:rsidTr="00592D28">
        <w:tc>
          <w:tcPr>
            <w:tcW w:w="483" w:type="dxa"/>
          </w:tcPr>
          <w:p w14:paraId="24E2D143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32" w:type="dxa"/>
          </w:tcPr>
          <w:p w14:paraId="2C82CB09" w14:textId="3D570B00" w:rsidR="006C3F70" w:rsidRDefault="004A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Village Hall</w:t>
            </w:r>
          </w:p>
        </w:tc>
        <w:tc>
          <w:tcPr>
            <w:tcW w:w="7654" w:type="dxa"/>
          </w:tcPr>
          <w:p w14:paraId="30B3EDFD" w14:textId="0C3324CD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Enhancing services</w:t>
            </w:r>
          </w:p>
        </w:tc>
        <w:tc>
          <w:tcPr>
            <w:tcW w:w="1701" w:type="dxa"/>
          </w:tcPr>
          <w:p w14:paraId="01BDD4F6" w14:textId="46E7F7E7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378" w:type="dxa"/>
          </w:tcPr>
          <w:p w14:paraId="6A9F90DF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24597A7B" w14:textId="77777777" w:rsidTr="00592D28">
        <w:tc>
          <w:tcPr>
            <w:tcW w:w="483" w:type="dxa"/>
          </w:tcPr>
          <w:p w14:paraId="4E980D44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32" w:type="dxa"/>
          </w:tcPr>
          <w:p w14:paraId="3A41C15F" w14:textId="718FC659" w:rsidR="006C3F70" w:rsidRDefault="004A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Soccer Centre</w:t>
            </w:r>
          </w:p>
        </w:tc>
        <w:tc>
          <w:tcPr>
            <w:tcW w:w="7654" w:type="dxa"/>
          </w:tcPr>
          <w:p w14:paraId="07A420EC" w14:textId="4A4217A6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of equipment to be able to host tournaments</w:t>
            </w:r>
          </w:p>
        </w:tc>
        <w:tc>
          <w:tcPr>
            <w:tcW w:w="1701" w:type="dxa"/>
          </w:tcPr>
          <w:p w14:paraId="3E8FB52F" w14:textId="2DA53F80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78" w:type="dxa"/>
          </w:tcPr>
          <w:p w14:paraId="2A268F70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34F61A6A" w14:textId="77777777" w:rsidTr="00592D28">
        <w:tc>
          <w:tcPr>
            <w:tcW w:w="483" w:type="dxa"/>
          </w:tcPr>
          <w:p w14:paraId="17BC7C67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32" w:type="dxa"/>
          </w:tcPr>
          <w:p w14:paraId="34FD4C57" w14:textId="47B4B466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Loch Fyne Church of Scotland</w:t>
            </w:r>
          </w:p>
        </w:tc>
        <w:tc>
          <w:tcPr>
            <w:tcW w:w="7654" w:type="dxa"/>
          </w:tcPr>
          <w:p w14:paraId="74668609" w14:textId="00C212B2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Disabled access to Church, hall and car park</w:t>
            </w:r>
          </w:p>
        </w:tc>
        <w:tc>
          <w:tcPr>
            <w:tcW w:w="1701" w:type="dxa"/>
          </w:tcPr>
          <w:p w14:paraId="1C30FEB5" w14:textId="06447DAF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2250</w:t>
            </w:r>
          </w:p>
        </w:tc>
        <w:tc>
          <w:tcPr>
            <w:tcW w:w="378" w:type="dxa"/>
          </w:tcPr>
          <w:p w14:paraId="1EA82DEA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3AE9E306" w14:textId="77777777" w:rsidTr="00592D28">
        <w:tc>
          <w:tcPr>
            <w:tcW w:w="483" w:type="dxa"/>
          </w:tcPr>
          <w:p w14:paraId="60601505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32" w:type="dxa"/>
          </w:tcPr>
          <w:p w14:paraId="611349B7" w14:textId="0F8AE41E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Templar Arts &amp; Leisure Centre</w:t>
            </w:r>
          </w:p>
        </w:tc>
        <w:tc>
          <w:tcPr>
            <w:tcW w:w="7654" w:type="dxa"/>
          </w:tcPr>
          <w:p w14:paraId="3BFFD6B6" w14:textId="5B3D9CE8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storage cupboards and installation of mini kitchen</w:t>
            </w:r>
          </w:p>
        </w:tc>
        <w:tc>
          <w:tcPr>
            <w:tcW w:w="1701" w:type="dxa"/>
          </w:tcPr>
          <w:p w14:paraId="60DCC6CD" w14:textId="53795527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78" w:type="dxa"/>
          </w:tcPr>
          <w:p w14:paraId="10C399A4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2144B3FB" w14:textId="77777777" w:rsidTr="00592D28">
        <w:tc>
          <w:tcPr>
            <w:tcW w:w="483" w:type="dxa"/>
          </w:tcPr>
          <w:p w14:paraId="39B72ABB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32" w:type="dxa"/>
          </w:tcPr>
          <w:p w14:paraId="42EF21B3" w14:textId="4B7E9471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Argyll South Branch of the Pony Club</w:t>
            </w:r>
          </w:p>
        </w:tc>
        <w:tc>
          <w:tcPr>
            <w:tcW w:w="7654" w:type="dxa"/>
          </w:tcPr>
          <w:p w14:paraId="6AEC9ABB" w14:textId="6541B028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Coaching weekends</w:t>
            </w:r>
          </w:p>
        </w:tc>
        <w:tc>
          <w:tcPr>
            <w:tcW w:w="1701" w:type="dxa"/>
          </w:tcPr>
          <w:p w14:paraId="11F8D572" w14:textId="5FE5F506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78" w:type="dxa"/>
          </w:tcPr>
          <w:p w14:paraId="12214445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3E297DC8" w14:textId="77777777" w:rsidTr="00592D28">
        <w:tc>
          <w:tcPr>
            <w:tcW w:w="483" w:type="dxa"/>
          </w:tcPr>
          <w:p w14:paraId="63B95E67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32" w:type="dxa"/>
          </w:tcPr>
          <w:p w14:paraId="5967746D" w14:textId="716B322E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Bowling Club</w:t>
            </w:r>
          </w:p>
        </w:tc>
        <w:tc>
          <w:tcPr>
            <w:tcW w:w="7654" w:type="dxa"/>
          </w:tcPr>
          <w:p w14:paraId="70EA5FB9" w14:textId="3B41A78B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Bowling green maintenance</w:t>
            </w:r>
          </w:p>
        </w:tc>
        <w:tc>
          <w:tcPr>
            <w:tcW w:w="1701" w:type="dxa"/>
          </w:tcPr>
          <w:p w14:paraId="6A672C26" w14:textId="1071A8B8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378" w:type="dxa"/>
          </w:tcPr>
          <w:p w14:paraId="13159608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6C" w14:paraId="1AD1EA2E" w14:textId="77777777" w:rsidTr="00592D28">
        <w:tc>
          <w:tcPr>
            <w:tcW w:w="483" w:type="dxa"/>
          </w:tcPr>
          <w:p w14:paraId="58CB496E" w14:textId="77777777" w:rsidR="00B66A6C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32" w:type="dxa"/>
          </w:tcPr>
          <w:p w14:paraId="09CCF0C2" w14:textId="6590BC7F" w:rsidR="00B66A6C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Academy Parent Council</w:t>
            </w:r>
          </w:p>
        </w:tc>
        <w:tc>
          <w:tcPr>
            <w:tcW w:w="7654" w:type="dxa"/>
          </w:tcPr>
          <w:p w14:paraId="163CF641" w14:textId="79348F18" w:rsidR="00B66A6C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help improve pay and learning opportunities for children </w:t>
            </w:r>
          </w:p>
        </w:tc>
        <w:tc>
          <w:tcPr>
            <w:tcW w:w="1701" w:type="dxa"/>
          </w:tcPr>
          <w:p w14:paraId="3BBFE2CC" w14:textId="4D02CA9D" w:rsidR="00B66A6C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2750</w:t>
            </w:r>
          </w:p>
        </w:tc>
        <w:tc>
          <w:tcPr>
            <w:tcW w:w="378" w:type="dxa"/>
          </w:tcPr>
          <w:p w14:paraId="4B6C7504" w14:textId="77777777" w:rsidR="00B66A6C" w:rsidRDefault="00B66A6C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66477B26" w14:textId="77777777" w:rsidTr="00592D28">
        <w:tc>
          <w:tcPr>
            <w:tcW w:w="483" w:type="dxa"/>
          </w:tcPr>
          <w:p w14:paraId="0211A462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32" w:type="dxa"/>
          </w:tcPr>
          <w:p w14:paraId="79DBE385" w14:textId="2FBFFCE9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Skipness &amp; District Sheep Dog Trials</w:t>
            </w:r>
          </w:p>
        </w:tc>
        <w:tc>
          <w:tcPr>
            <w:tcW w:w="7654" w:type="dxa"/>
          </w:tcPr>
          <w:p w14:paraId="03B44DB3" w14:textId="594CFA8B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of sheep dog trials</w:t>
            </w:r>
          </w:p>
        </w:tc>
        <w:tc>
          <w:tcPr>
            <w:tcW w:w="1701" w:type="dxa"/>
          </w:tcPr>
          <w:p w14:paraId="3715711E" w14:textId="201883E5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78" w:type="dxa"/>
          </w:tcPr>
          <w:p w14:paraId="4CA1625E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F70" w14:paraId="6351735E" w14:textId="77777777" w:rsidTr="00592D28">
        <w:tc>
          <w:tcPr>
            <w:tcW w:w="483" w:type="dxa"/>
          </w:tcPr>
          <w:p w14:paraId="5F4C5A30" w14:textId="77777777" w:rsidR="006C3F70" w:rsidRDefault="00656A96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32" w:type="dxa"/>
          </w:tcPr>
          <w:p w14:paraId="0F2CC72C" w14:textId="6FD940A7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Tarbert Enterprise Company</w:t>
            </w:r>
          </w:p>
        </w:tc>
        <w:tc>
          <w:tcPr>
            <w:tcW w:w="7654" w:type="dxa"/>
          </w:tcPr>
          <w:p w14:paraId="43E18D65" w14:textId="3E091ED1" w:rsidR="006C3F70" w:rsidRDefault="00592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fireworks display</w:t>
            </w:r>
          </w:p>
        </w:tc>
        <w:tc>
          <w:tcPr>
            <w:tcW w:w="1701" w:type="dxa"/>
          </w:tcPr>
          <w:p w14:paraId="3EFA2E30" w14:textId="62BA50BF" w:rsidR="006C3F70" w:rsidRDefault="00592D28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78" w:type="dxa"/>
          </w:tcPr>
          <w:p w14:paraId="1ECAC0C1" w14:textId="77777777" w:rsidR="006C3F70" w:rsidRDefault="006C3F70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41" w14:paraId="0E25B071" w14:textId="77777777" w:rsidTr="00592D28">
        <w:tc>
          <w:tcPr>
            <w:tcW w:w="483" w:type="dxa"/>
          </w:tcPr>
          <w:p w14:paraId="7EC6F17D" w14:textId="77777777" w:rsidR="00060C41" w:rsidRDefault="00060C41" w:rsidP="00592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</w:tcPr>
          <w:p w14:paraId="312B4504" w14:textId="77777777" w:rsidR="00060C41" w:rsidRDefault="00060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40386FD" w14:textId="77777777" w:rsidR="00060C41" w:rsidRPr="00BE1CD8" w:rsidRDefault="00060C41" w:rsidP="00060C4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1CD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765E7E42" w14:textId="3B1F7AD7" w:rsidR="00060C41" w:rsidRPr="00EC4F27" w:rsidRDefault="00592D28" w:rsidP="00CB65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28870</w:t>
            </w:r>
          </w:p>
        </w:tc>
        <w:tc>
          <w:tcPr>
            <w:tcW w:w="378" w:type="dxa"/>
          </w:tcPr>
          <w:p w14:paraId="221EAED4" w14:textId="77777777" w:rsidR="00060C41" w:rsidRDefault="00060C41" w:rsidP="00CB6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EA615" w14:textId="77777777" w:rsidR="00C71E36" w:rsidRDefault="00CC3746"/>
    <w:p w14:paraId="1C6654F7" w14:textId="77777777" w:rsidR="00E47273" w:rsidRDefault="00E47273"/>
    <w:sectPr w:rsidR="00E47273" w:rsidSect="00AD3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1505"/>
    <w:multiLevelType w:val="hybridMultilevel"/>
    <w:tmpl w:val="2EEA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71"/>
    <w:rsid w:val="00007FF3"/>
    <w:rsid w:val="00055B3B"/>
    <w:rsid w:val="00060C41"/>
    <w:rsid w:val="000B0566"/>
    <w:rsid w:val="00154DF2"/>
    <w:rsid w:val="001D2243"/>
    <w:rsid w:val="00220E53"/>
    <w:rsid w:val="002859CE"/>
    <w:rsid w:val="0028645B"/>
    <w:rsid w:val="00363977"/>
    <w:rsid w:val="0039389A"/>
    <w:rsid w:val="0044178A"/>
    <w:rsid w:val="004A7121"/>
    <w:rsid w:val="004D04DC"/>
    <w:rsid w:val="00500652"/>
    <w:rsid w:val="00592D28"/>
    <w:rsid w:val="005B70F6"/>
    <w:rsid w:val="00640137"/>
    <w:rsid w:val="00656A96"/>
    <w:rsid w:val="00691BCF"/>
    <w:rsid w:val="006C3F70"/>
    <w:rsid w:val="008112E5"/>
    <w:rsid w:val="008523CB"/>
    <w:rsid w:val="0089290A"/>
    <w:rsid w:val="008F4C5E"/>
    <w:rsid w:val="00970805"/>
    <w:rsid w:val="00976430"/>
    <w:rsid w:val="00A17050"/>
    <w:rsid w:val="00A40090"/>
    <w:rsid w:val="00AD3C2A"/>
    <w:rsid w:val="00AF0271"/>
    <w:rsid w:val="00B66A6C"/>
    <w:rsid w:val="00B75C08"/>
    <w:rsid w:val="00BE1CD8"/>
    <w:rsid w:val="00CB6533"/>
    <w:rsid w:val="00CC3746"/>
    <w:rsid w:val="00CD70E3"/>
    <w:rsid w:val="00D171CE"/>
    <w:rsid w:val="00D21184"/>
    <w:rsid w:val="00D71AD8"/>
    <w:rsid w:val="00DA1E89"/>
    <w:rsid w:val="00DA3669"/>
    <w:rsid w:val="00DC4AAE"/>
    <w:rsid w:val="00E201E8"/>
    <w:rsid w:val="00E47273"/>
    <w:rsid w:val="00E643D5"/>
    <w:rsid w:val="00EC4F27"/>
    <w:rsid w:val="00F526A9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5528"/>
  <w15:chartTrackingRefBased/>
  <w15:docId w15:val="{FA081061-2488-4BFB-BED0-8C2105F1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9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User</cp:lastModifiedBy>
  <cp:revision>2</cp:revision>
  <dcterms:created xsi:type="dcterms:W3CDTF">2020-10-29T13:34:00Z</dcterms:created>
  <dcterms:modified xsi:type="dcterms:W3CDTF">2020-10-29T13:34:00Z</dcterms:modified>
</cp:coreProperties>
</file>